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CD334" w14:textId="77777777" w:rsidR="009624FB" w:rsidRDefault="009624FB" w:rsidP="009624FB">
      <w:pPr>
        <w:spacing w:line="240" w:lineRule="auto"/>
        <w:jc w:val="center"/>
      </w:pPr>
      <w:r w:rsidRPr="00F54C01">
        <w:t>Tisková zpráva</w:t>
      </w:r>
    </w:p>
    <w:p w14:paraId="31FF4FA1" w14:textId="759FB642" w:rsidR="009624FB" w:rsidRPr="00117CEA" w:rsidRDefault="009624FB" w:rsidP="009624FB">
      <w:pPr>
        <w:spacing w:line="240" w:lineRule="auto"/>
        <w:jc w:val="center"/>
        <w:rPr>
          <w:b/>
          <w:bCs/>
        </w:rPr>
      </w:pPr>
      <w:r w:rsidRPr="008B73EE">
        <w:rPr>
          <w:b/>
          <w:bCs/>
        </w:rPr>
        <w:t>Vyšší pobídky vrátily Českou republiku do hry</w:t>
      </w:r>
      <w:r w:rsidR="00F30AB1">
        <w:rPr>
          <w:b/>
          <w:bCs/>
        </w:rPr>
        <w:t xml:space="preserve">, </w:t>
      </w:r>
      <w:r w:rsidRPr="00E663CF">
        <w:rPr>
          <w:b/>
          <w:bCs/>
        </w:rPr>
        <w:t>obrat</w:t>
      </w:r>
      <w:r w:rsidRPr="008B73EE">
        <w:rPr>
          <w:b/>
          <w:bCs/>
        </w:rPr>
        <w:t xml:space="preserve"> audiovize v roce 2025 vzrostl na 11</w:t>
      </w:r>
      <w:r w:rsidR="006D26AF">
        <w:rPr>
          <w:b/>
          <w:bCs/>
        </w:rPr>
        <w:t>,3</w:t>
      </w:r>
      <w:r w:rsidRPr="008B73EE">
        <w:rPr>
          <w:b/>
          <w:bCs/>
        </w:rPr>
        <w:t xml:space="preserve"> miliard </w:t>
      </w:r>
      <w:r w:rsidRPr="00117CEA">
        <w:rPr>
          <w:b/>
          <w:bCs/>
          <w:i/>
          <w:iCs/>
        </w:rPr>
        <w:t>Nyní však pobídky znovu stojí a stabilitu ohrožuje i nejistota kolem České televize</w:t>
      </w:r>
    </w:p>
    <w:p w14:paraId="2A9E8FE2" w14:textId="73C772CE" w:rsidR="009624FB" w:rsidRDefault="009624FB" w:rsidP="009624FB">
      <w:pPr>
        <w:spacing w:line="240" w:lineRule="auto"/>
      </w:pPr>
      <w:r w:rsidRPr="00F24AFE">
        <w:t xml:space="preserve">Současná situace v české audiovizi ukazuje, jak zásadní vliv mají filmové pobídky na stabilitu celého trhu. </w:t>
      </w:r>
      <w:r>
        <w:t xml:space="preserve">Podle výsledků Asociace producentů v audiovizi (APA) navýšení pobídek vytáhlo tuzemskou audiovizi z avizovaného propadu v roce 2024, kdy objem výroby klesl pod úroveň roku 2021 na </w:t>
      </w:r>
      <w:r w:rsidRPr="005E699D">
        <w:t>9,9</w:t>
      </w:r>
      <w:r>
        <w:t xml:space="preserve"> miliard. V roce 2025 už dosáhl obrat celé audiovize na 11,3 miliard, což je nárůst o 14,5 % oproti minulému </w:t>
      </w:r>
      <w:r w:rsidRPr="00FA2E9D">
        <w:t>roku. Ovšem</w:t>
      </w:r>
      <w:r>
        <w:t xml:space="preserve"> ani historicky</w:t>
      </w:r>
      <w:r w:rsidRPr="00F24AFE">
        <w:t xml:space="preserve"> nejvyšší rozpočet </w:t>
      </w:r>
      <w:r>
        <w:t xml:space="preserve">Státního fondu audiovize, který byl v minulém roce </w:t>
      </w:r>
      <w:r w:rsidRPr="00F24AFE">
        <w:t>2,4 miliardy</w:t>
      </w:r>
      <w:r>
        <w:t xml:space="preserve"> (z toho až 1,6 mld. na filmové pobídky)</w:t>
      </w:r>
      <w:r w:rsidR="00315F8B">
        <w:t>,</w:t>
      </w:r>
      <w:r>
        <w:t xml:space="preserve"> </w:t>
      </w:r>
      <w:r w:rsidRPr="00F24AFE">
        <w:t xml:space="preserve">nepokryl dluh </w:t>
      </w:r>
      <w:r>
        <w:t xml:space="preserve">z minulých let, </w:t>
      </w:r>
      <w:r w:rsidRPr="00F24AFE">
        <w:t xml:space="preserve">a </w:t>
      </w:r>
      <w:r>
        <w:t xml:space="preserve">především </w:t>
      </w:r>
      <w:r w:rsidRPr="00F24AFE">
        <w:t>ohromnou poptávku</w:t>
      </w:r>
      <w:r>
        <w:t xml:space="preserve"> ze zahraničí</w:t>
      </w:r>
      <w:r w:rsidRPr="00F24AFE">
        <w:t>. Od konce března</w:t>
      </w:r>
      <w:r>
        <w:t xml:space="preserve"> 2026</w:t>
      </w:r>
      <w:r w:rsidRPr="00F24AFE">
        <w:t xml:space="preserve"> je </w:t>
      </w:r>
      <w:r>
        <w:t xml:space="preserve">navíc opět </w:t>
      </w:r>
      <w:r w:rsidRPr="00F24AFE">
        <w:t>uzavřeno podávání nových žádostí o zápis do pobídkového systému</w:t>
      </w:r>
      <w:r w:rsidR="00E375B4">
        <w:t>.</w:t>
      </w:r>
      <w:r>
        <w:t xml:space="preserve"> </w:t>
      </w:r>
    </w:p>
    <w:p w14:paraId="20029404" w14:textId="79F0EA94" w:rsidR="009624FB" w:rsidRPr="00407A0B" w:rsidRDefault="009624FB" w:rsidP="009624FB">
      <w:pPr>
        <w:spacing w:line="240" w:lineRule="auto"/>
        <w:rPr>
          <w:b/>
          <w:bCs/>
          <w:i/>
          <w:iCs/>
        </w:rPr>
      </w:pPr>
      <w:r w:rsidRPr="001B44B3">
        <w:rPr>
          <w:b/>
          <w:bCs/>
        </w:rPr>
        <w:t xml:space="preserve">Obraty </w:t>
      </w:r>
      <w:r>
        <w:rPr>
          <w:b/>
          <w:bCs/>
        </w:rPr>
        <w:t>zahraniční produkce, českých filmů i seriálů a reklamy</w:t>
      </w:r>
      <w:r>
        <w:rPr>
          <w:b/>
          <w:bCs/>
        </w:rPr>
        <w:br/>
      </w:r>
      <w:r>
        <w:t>Hlavním důvodem, proč meziročně vzrostly obraty o 14,5</w:t>
      </w:r>
      <w:r w:rsidR="00315F8B">
        <w:t xml:space="preserve"> %</w:t>
      </w:r>
      <w:r w:rsidR="00203C6F">
        <w:t xml:space="preserve">, </w:t>
      </w:r>
      <w:r>
        <w:t xml:space="preserve">je nepochybně nárůst zahraniční produkce, která stoupla zhruba o více než 1 mld. (o 20 %) z 5,5 mld. na více než 6,6 miliard. Výroba českých filmů a seriálů zaznamenala velice mírný nárůst o necelých 6 </w:t>
      </w:r>
      <w:r w:rsidRPr="001B44B3">
        <w:t>%</w:t>
      </w:r>
      <w:r>
        <w:rPr>
          <w:b/>
          <w:bCs/>
        </w:rPr>
        <w:t xml:space="preserve"> </w:t>
      </w:r>
      <w:r>
        <w:t xml:space="preserve">z téměř 1,9 mld. na téměř 2 mld., v součtu jde konkrétně o 110 milionů. Reklama navýšila o 202 milionů, celkově </w:t>
      </w:r>
      <w:r w:rsidRPr="009121A3">
        <w:t>z původních téměř 2,5 na 2,7 miliard.</w:t>
      </w:r>
      <w:r>
        <w:t xml:space="preserve"> V současné době </w:t>
      </w:r>
      <w:r w:rsidR="00315F8B">
        <w:t xml:space="preserve">APA </w:t>
      </w:r>
      <w:r>
        <w:t>sdružuje 177 nezávislých producentských společností, což tvoří 90 % trhu.</w:t>
      </w:r>
    </w:p>
    <w:p w14:paraId="1DF518CC" w14:textId="77777777" w:rsidR="009624FB" w:rsidRPr="00407A0B" w:rsidRDefault="009624FB" w:rsidP="009624FB">
      <w:pPr>
        <w:spacing w:line="240" w:lineRule="auto"/>
        <w:rPr>
          <w:i/>
          <w:iCs/>
        </w:rPr>
      </w:pPr>
      <w:r w:rsidRPr="00407A0B">
        <w:rPr>
          <w:i/>
          <w:iCs/>
        </w:rPr>
        <w:t xml:space="preserve">„Česká audiovize se nachází v silné ‚startovní‘ pozici. Reforma Státního fondu audiovize by měla stabilizovat systém pobídek, navýšit jejich objem a posílit podporu původní domácí tvorby. Nově také vytváří závazek VOD platforem investovat do lokálního obsahu. </w:t>
      </w:r>
      <w:r>
        <w:rPr>
          <w:i/>
          <w:iCs/>
        </w:rPr>
        <w:t>Rozvíjející se</w:t>
      </w:r>
      <w:r w:rsidRPr="00407A0B">
        <w:rPr>
          <w:i/>
          <w:iCs/>
        </w:rPr>
        <w:t xml:space="preserve"> domácí televizní tvorba a investice soukromých televizí</w:t>
      </w:r>
      <w:r>
        <w:rPr>
          <w:i/>
          <w:iCs/>
        </w:rPr>
        <w:t xml:space="preserve"> </w:t>
      </w:r>
      <w:r w:rsidRPr="00407A0B">
        <w:rPr>
          <w:i/>
          <w:iCs/>
        </w:rPr>
        <w:t xml:space="preserve">zvyšuje prostupnost českého audiovizuálního obsahu do zahraničí. Zejména zahraniční koprodukce a prodeje představují </w:t>
      </w:r>
      <w:r>
        <w:rPr>
          <w:i/>
          <w:iCs/>
        </w:rPr>
        <w:t xml:space="preserve">totiž </w:t>
      </w:r>
      <w:r w:rsidRPr="00407A0B">
        <w:rPr>
          <w:i/>
          <w:iCs/>
        </w:rPr>
        <w:t>další zásadní potenciál růstu české audiovize. Pobídkový systém je</w:t>
      </w:r>
      <w:r>
        <w:rPr>
          <w:i/>
          <w:iCs/>
        </w:rPr>
        <w:t xml:space="preserve"> </w:t>
      </w:r>
      <w:r w:rsidRPr="00407A0B">
        <w:rPr>
          <w:i/>
          <w:iCs/>
        </w:rPr>
        <w:t xml:space="preserve">dočasně zastavený, </w:t>
      </w:r>
      <w:r>
        <w:rPr>
          <w:i/>
          <w:iCs/>
        </w:rPr>
        <w:t>podle našich informací</w:t>
      </w:r>
      <w:r w:rsidRPr="00407A0B">
        <w:rPr>
          <w:i/>
          <w:iCs/>
        </w:rPr>
        <w:t xml:space="preserve"> </w:t>
      </w:r>
      <w:r>
        <w:rPr>
          <w:i/>
          <w:iCs/>
        </w:rPr>
        <w:t>by mělo</w:t>
      </w:r>
      <w:r w:rsidRPr="00407A0B">
        <w:rPr>
          <w:i/>
          <w:iCs/>
        </w:rPr>
        <w:t xml:space="preserve"> dojít k jeho znovuotevření během léta,“</w:t>
      </w:r>
      <w:r w:rsidRPr="00407A0B">
        <w:t xml:space="preserve"> </w:t>
      </w:r>
      <w:r w:rsidRPr="00407A0B">
        <w:rPr>
          <w:b/>
          <w:bCs/>
        </w:rPr>
        <w:t>říká předseda APA Vratislav Šlajer</w:t>
      </w:r>
      <w:r w:rsidRPr="00407A0B">
        <w:t xml:space="preserve">. </w:t>
      </w:r>
      <w:r w:rsidRPr="00407A0B">
        <w:rPr>
          <w:b/>
          <w:bCs/>
        </w:rPr>
        <w:t>Zároveň upozorňuje</w:t>
      </w:r>
      <w:r>
        <w:rPr>
          <w:b/>
          <w:bCs/>
        </w:rPr>
        <w:t xml:space="preserve">: </w:t>
      </w:r>
      <w:r w:rsidRPr="009121A3">
        <w:rPr>
          <w:i/>
          <w:iCs/>
        </w:rPr>
        <w:t>„</w:t>
      </w:r>
      <w:r w:rsidRPr="006F7BA4">
        <w:rPr>
          <w:i/>
          <w:iCs/>
        </w:rPr>
        <w:t xml:space="preserve">Alarmující je ale situace kolem veřejnoprávních médií. Vládní novela zákona rušící koncesionářské poplatky pro ČT (a ČRo) vytváří velkou nejistotu. A to nejen ohrožením nezávislosti médií veřejné služby, která by byla podřízena státnímu rozpočtu, ale také hrozícím návratem k rozpočtu před rokem 2024 a snížením financování </w:t>
      </w:r>
      <w:r>
        <w:rPr>
          <w:i/>
          <w:iCs/>
        </w:rPr>
        <w:t>ČT</w:t>
      </w:r>
      <w:r w:rsidRPr="006F7BA4">
        <w:rPr>
          <w:i/>
          <w:iCs/>
        </w:rPr>
        <w:t xml:space="preserve"> o jednu až dvě miliardy ročně.“</w:t>
      </w:r>
    </w:p>
    <w:p w14:paraId="5EC51E8D" w14:textId="77777777" w:rsidR="009624FB" w:rsidRDefault="009624FB" w:rsidP="009624FB">
      <w:pPr>
        <w:spacing w:line="240" w:lineRule="auto"/>
      </w:pPr>
      <w:r w:rsidRPr="001314D0">
        <w:rPr>
          <w:b/>
          <w:bCs/>
        </w:rPr>
        <w:t>Výhled české audiovize</w:t>
      </w:r>
      <w:r>
        <w:rPr>
          <w:b/>
          <w:bCs/>
        </w:rPr>
        <w:br/>
      </w:r>
      <w:r w:rsidRPr="005E2D70">
        <w:t xml:space="preserve">Reformovaný Státní fond audiovize </w:t>
      </w:r>
      <w:r>
        <w:t xml:space="preserve">(SFA) </w:t>
      </w:r>
      <w:r w:rsidRPr="005E2D70">
        <w:t xml:space="preserve">otevřel </w:t>
      </w:r>
      <w:r>
        <w:t>v září</w:t>
      </w:r>
      <w:r w:rsidRPr="005E2D70">
        <w:t xml:space="preserve"> 2025 první výzvy</w:t>
      </w:r>
      <w:r>
        <w:t xml:space="preserve">, </w:t>
      </w:r>
      <w:r w:rsidRPr="005E2D70">
        <w:t xml:space="preserve">do října 2026 v rámci prvního roku fungování rozdělí na podpoře téměř dvojnásobek </w:t>
      </w:r>
      <w:r>
        <w:t xml:space="preserve">z </w:t>
      </w:r>
      <w:r w:rsidRPr="005E2D70">
        <w:t>předchozích let, na podporu vývoje a výroby cca 550 milionů</w:t>
      </w:r>
      <w:r>
        <w:t xml:space="preserve">. Jedná se o </w:t>
      </w:r>
      <w:r w:rsidRPr="005E2D70">
        <w:t>klíčov</w:t>
      </w:r>
      <w:r>
        <w:t>ou</w:t>
      </w:r>
      <w:r w:rsidRPr="005E2D70">
        <w:t xml:space="preserve"> a dlouho potřebn</w:t>
      </w:r>
      <w:r>
        <w:t>ou</w:t>
      </w:r>
      <w:r w:rsidRPr="005E2D70">
        <w:t xml:space="preserve"> podpor</w:t>
      </w:r>
      <w:r>
        <w:t>u</w:t>
      </w:r>
      <w:r w:rsidRPr="005E2D70">
        <w:t xml:space="preserve"> pro domácí tvorbu</w:t>
      </w:r>
      <w:r>
        <w:t>, která</w:t>
      </w:r>
      <w:r w:rsidRPr="005E2D70">
        <w:t xml:space="preserve"> nově zahrnuj</w:t>
      </w:r>
      <w:r>
        <w:t>e</w:t>
      </w:r>
      <w:r w:rsidRPr="005E2D70">
        <w:t xml:space="preserve"> i tvorbu</w:t>
      </w:r>
      <w:r>
        <w:t xml:space="preserve"> </w:t>
      </w:r>
      <w:r w:rsidRPr="005E2D70">
        <w:t xml:space="preserve">televizní. Celkový systém se po reformách SFA a financování ČT stabilizoval, znejistilo </w:t>
      </w:r>
      <w:r w:rsidRPr="00402B7B">
        <w:t xml:space="preserve">ho však zastavení pobídek a zejména nová nejistota ohledně financování veřejnoprávní televize. </w:t>
      </w:r>
      <w:r w:rsidRPr="00FA2E9D">
        <w:t>Pokud přijde ČT o 1 až 2 miliardy, jak vyplývá z vládního návrhu novely měnící financování médií veřejné služby, dojde k propadu v investici do původní domácí filmové a televizní tvorby, podle odhadu APA o 800 milionů až 1 miliardu.</w:t>
      </w:r>
      <w:r w:rsidRPr="001314D0">
        <w:rPr>
          <w:b/>
          <w:bCs/>
        </w:rPr>
        <w:t xml:space="preserve"> </w:t>
      </w:r>
      <w:r w:rsidRPr="00E663CF">
        <w:t>Bude se to týkat filmových debutů, kvalitní televizní tvorby s mezinárodním přesahem, dokumentů, animace a tvorby pro děti a mládež. To by se projevilo v horizontu příštích tří až pěti let nejen výrazným poklesem obratu české audiovize, ale i oslabením její mezinárodní konkurence</w:t>
      </w:r>
      <w:r>
        <w:t>s</w:t>
      </w:r>
      <w:r w:rsidRPr="00E663CF">
        <w:t>chopnosti, nástupu tolik potřebného nového talentu i nových žánrů. Zároveň by došlo ke stagnaci již rozběhnuté filmové a animované tvorby, kterou by měla ČT podle schváleného memoranda aktivně podporovat</w:t>
      </w:r>
      <w:r>
        <w:rPr>
          <w:b/>
          <w:bCs/>
        </w:rPr>
        <w:t xml:space="preserve">. </w:t>
      </w:r>
      <w:r w:rsidRPr="00E663CF">
        <w:t>Naopak potěšující je stabilizovaný objem investice soukromých televizí a úspěchy jejich digitálních platforem, které dávají příležitost řadě zajímavých diváckých projektů a posilují kvalitu české audiovizuální tvorby. To ale při výpadku investic ČT nepokryje veškerý potenciál české tvorby, zejména koprodukční a výše zmiňované formáty</w:t>
      </w:r>
      <w:r>
        <w:t>,</w:t>
      </w:r>
      <w:r w:rsidRPr="00E663CF">
        <w:t xml:space="preserve"> jako jsou dokument a animace.</w:t>
      </w:r>
    </w:p>
    <w:p w14:paraId="57A7658A" w14:textId="6F75E841" w:rsidR="009624FB" w:rsidRPr="00221F73" w:rsidRDefault="009624FB" w:rsidP="009624FB">
      <w:pPr>
        <w:spacing w:line="240" w:lineRule="auto"/>
      </w:pPr>
      <w:r w:rsidRPr="00380BDC">
        <w:rPr>
          <w:b/>
          <w:bCs/>
        </w:rPr>
        <w:t xml:space="preserve">Zahraniční </w:t>
      </w:r>
      <w:r>
        <w:rPr>
          <w:b/>
          <w:bCs/>
        </w:rPr>
        <w:t>produkce</w:t>
      </w:r>
      <w:r>
        <w:rPr>
          <w:b/>
          <w:bCs/>
        </w:rPr>
        <w:br/>
      </w:r>
      <w:r>
        <w:t>Česká vláda</w:t>
      </w:r>
      <w:r w:rsidRPr="00F24AFE">
        <w:t xml:space="preserve"> sice v letech 2023 a 2024 navyšovala </w:t>
      </w:r>
      <w:r>
        <w:t>roční alokaci</w:t>
      </w:r>
      <w:r w:rsidRPr="00F24AFE">
        <w:t xml:space="preserve"> na pobídky, ale šanci na stabilitu trhu dávala</w:t>
      </w:r>
      <w:r>
        <w:t xml:space="preserve"> teprve</w:t>
      </w:r>
      <w:r w:rsidRPr="00F24AFE">
        <w:t xml:space="preserve"> požadovaná transformace Státního fondu </w:t>
      </w:r>
      <w:r>
        <w:t xml:space="preserve">kinematografie. </w:t>
      </w:r>
      <w:r w:rsidRPr="00F24AFE">
        <w:t>Ta přinesla od ledna 2025</w:t>
      </w:r>
      <w:r>
        <w:t xml:space="preserve"> mj.</w:t>
      </w:r>
      <w:r w:rsidRPr="00F24AFE">
        <w:t xml:space="preserve"> </w:t>
      </w:r>
      <w:r w:rsidRPr="00F24AFE">
        <w:lastRenderedPageBreak/>
        <w:t>navýšení pobídek na 25</w:t>
      </w:r>
      <w:r>
        <w:t xml:space="preserve"> až </w:t>
      </w:r>
      <w:r w:rsidRPr="00F24AFE">
        <w:t>35 %</w:t>
      </w:r>
      <w:r>
        <w:t xml:space="preserve"> (vyšší procenta pro animaci a digitální produkci)</w:t>
      </w:r>
      <w:r w:rsidRPr="00F24AFE">
        <w:t xml:space="preserve"> a zapojení VOD platforem do financování systému.</w:t>
      </w:r>
      <w:r>
        <w:t xml:space="preserve"> A</w:t>
      </w:r>
      <w:r w:rsidRPr="000F60E1">
        <w:t xml:space="preserve">udiovizuální průmysl </w:t>
      </w:r>
      <w:r w:rsidR="00315F8B">
        <w:t>se tak</w:t>
      </w:r>
      <w:r>
        <w:t xml:space="preserve"> v rámci zahraničních zakázek </w:t>
      </w:r>
      <w:r w:rsidRPr="000F60E1">
        <w:t xml:space="preserve">v roce 2025 opět mírně </w:t>
      </w:r>
      <w:r>
        <w:t xml:space="preserve">nadechl, což </w:t>
      </w:r>
      <w:r w:rsidRPr="000F60E1">
        <w:t xml:space="preserve">pomohlo zastavit odliv zahraničních produkcí do konkurenceschopnějších evropských destinací, kde lze získat zpět </w:t>
      </w:r>
      <w:r>
        <w:t xml:space="preserve">často </w:t>
      </w:r>
      <w:r w:rsidRPr="000F60E1">
        <w:t>více než 30 % vynaložených prostředků.</w:t>
      </w:r>
      <w:r>
        <w:t xml:space="preserve"> Tento pozitivní trend </w:t>
      </w:r>
      <w:r w:rsidR="00315F8B">
        <w:t xml:space="preserve">v ČR </w:t>
      </w:r>
      <w:r>
        <w:t xml:space="preserve">byl </w:t>
      </w:r>
      <w:r w:rsidRPr="000F60E1">
        <w:t xml:space="preserve">přerušen rozhodnutím Státního fondu audiovize </w:t>
      </w:r>
      <w:r w:rsidR="00315F8B">
        <w:t xml:space="preserve">z </w:t>
      </w:r>
      <w:r w:rsidRPr="000F60E1">
        <w:t>27. března 2026</w:t>
      </w:r>
      <w:r>
        <w:t>, kdy došlo</w:t>
      </w:r>
      <w:r w:rsidRPr="000F60E1">
        <w:t xml:space="preserve"> </w:t>
      </w:r>
      <w:r>
        <w:t>k</w:t>
      </w:r>
      <w:r w:rsidRPr="000F60E1">
        <w:t xml:space="preserve"> pozastavení systému </w:t>
      </w:r>
      <w:r>
        <w:t xml:space="preserve">těchto </w:t>
      </w:r>
      <w:r w:rsidRPr="000F60E1">
        <w:t>pobídek</w:t>
      </w:r>
      <w:r>
        <w:t xml:space="preserve"> z důvodu vyčerpání finančních prostředků alokovaných pro daný rok. Zastavení podávání nových žádostí negativně ovlivní výsledky audiovize za rok 2026, v dlouhodobějším horizontu i za rok 2027. Důležité je také připomenout, že filmový průmysl neživí z většiny filmaře. </w:t>
      </w:r>
      <w:r w:rsidRPr="00205E12">
        <w:t xml:space="preserve">Podle dat </w:t>
      </w:r>
      <w:r>
        <w:t xml:space="preserve">SFA a APA </w:t>
      </w:r>
      <w:r w:rsidRPr="00205E12">
        <w:t>směřuje</w:t>
      </w:r>
      <w:r>
        <w:t xml:space="preserve"> </w:t>
      </w:r>
      <w:r w:rsidRPr="00205E12">
        <w:t xml:space="preserve">60 % všech prostředků utracených </w:t>
      </w:r>
      <w:r>
        <w:t xml:space="preserve">například </w:t>
      </w:r>
      <w:r w:rsidRPr="00205E12">
        <w:t xml:space="preserve">zahraničními produkcemi </w:t>
      </w:r>
      <w:r>
        <w:t xml:space="preserve">na území ČR </w:t>
      </w:r>
      <w:r w:rsidRPr="00205E12">
        <w:t>do navazujících nefilmových odvětví</w:t>
      </w:r>
      <w:r>
        <w:rPr>
          <w:b/>
          <w:bCs/>
        </w:rPr>
        <w:t xml:space="preserve">. </w:t>
      </w:r>
      <w:r>
        <w:t>APA oceňuje dialog s vedením SFA a jeho snahu o nalezení cesty, jak znovu co nejrychleji systém otevřít.</w:t>
      </w:r>
    </w:p>
    <w:p w14:paraId="4BEF38BF" w14:textId="77777777" w:rsidR="009624FB" w:rsidRPr="00C25C69" w:rsidRDefault="009624FB" w:rsidP="009624FB">
      <w:pPr>
        <w:spacing w:line="240" w:lineRule="auto"/>
      </w:pPr>
      <w:r>
        <w:rPr>
          <w:b/>
          <w:bCs/>
        </w:rPr>
        <w:t>Zahraniční projekty natáčené</w:t>
      </w:r>
      <w:r w:rsidRPr="006F7F24">
        <w:rPr>
          <w:b/>
          <w:bCs/>
        </w:rPr>
        <w:t xml:space="preserve"> v</w:t>
      </w:r>
      <w:r>
        <w:rPr>
          <w:b/>
          <w:bCs/>
        </w:rPr>
        <w:t> </w:t>
      </w:r>
      <w:r w:rsidRPr="006F7F24">
        <w:rPr>
          <w:b/>
          <w:bCs/>
        </w:rPr>
        <w:t>ČR</w:t>
      </w:r>
      <w:r>
        <w:rPr>
          <w:b/>
          <w:bCs/>
        </w:rPr>
        <w:br/>
      </w:r>
      <w:r w:rsidRPr="000F60E1">
        <w:t>V</w:t>
      </w:r>
      <w:r>
        <w:t> minulém roce</w:t>
      </w:r>
      <w:r w:rsidRPr="000F60E1">
        <w:t xml:space="preserve"> </w:t>
      </w:r>
      <w:r>
        <w:t xml:space="preserve">se </w:t>
      </w:r>
      <w:r w:rsidRPr="000F60E1">
        <w:t>po navýšení pobídky v České republice realizovaly především malé a středně</w:t>
      </w:r>
      <w:r>
        <w:t xml:space="preserve"> </w:t>
      </w:r>
      <w:r w:rsidRPr="000F60E1">
        <w:t>velké projekty. Mezi nejvýznamnější patřil film Resident Evil</w:t>
      </w:r>
      <w:r>
        <w:t xml:space="preserve">, </w:t>
      </w:r>
      <w:r w:rsidRPr="000F60E1">
        <w:t>seriály </w:t>
      </w:r>
      <w:r w:rsidRPr="00DC67CF">
        <w:t>The Age of Innocence</w:t>
      </w:r>
      <w:r w:rsidRPr="000F60E1">
        <w:t xml:space="preserve"> pro Netflix </w:t>
      </w:r>
      <w:r>
        <w:t>či</w:t>
      </w:r>
      <w:r w:rsidRPr="000F60E1">
        <w:t> </w:t>
      </w:r>
      <w:r w:rsidRPr="00DC67CF">
        <w:t>Ride or Die</w:t>
      </w:r>
      <w:r w:rsidRPr="000F60E1">
        <w:t xml:space="preserve"> pro Amazon MGM Studios, které servisně zajišťovala česká produkční společnost Stillking. </w:t>
      </w:r>
      <w:r>
        <w:t>V</w:t>
      </w:r>
      <w:r w:rsidRPr="000F60E1">
        <w:t xml:space="preserve">znikla </w:t>
      </w:r>
      <w:r>
        <w:t xml:space="preserve">i </w:t>
      </w:r>
      <w:r w:rsidRPr="000F60E1">
        <w:t>řada projektů pro evropské televizní vysílatele a streamovací platformy, například třetí řada seriálu </w:t>
      </w:r>
      <w:r w:rsidRPr="00DC67CF">
        <w:t>Empress </w:t>
      </w:r>
      <w:r w:rsidRPr="000F60E1">
        <w:t>pro německý Netflix produkovaná společností Mia Film.</w:t>
      </w:r>
      <w:r>
        <w:t xml:space="preserve"> </w:t>
      </w:r>
      <w:r w:rsidRPr="000F60E1">
        <w:t>Současně byly v průběhu roku zahájeny přípravy velkých mezinárodních projektů, jejichž natáčení se r</w:t>
      </w:r>
      <w:r>
        <w:t>ozbíhá v roce 2026</w:t>
      </w:r>
      <w:r w:rsidRPr="000F60E1">
        <w:t>. Patří mezi ně pokračování sci-fi ságy </w:t>
      </w:r>
      <w:r w:rsidRPr="00E27815">
        <w:t>Foundation</w:t>
      </w:r>
      <w:r w:rsidRPr="000F60E1">
        <w:t>, seriál </w:t>
      </w:r>
      <w:r w:rsidRPr="00E27815">
        <w:t>Monarch: Legacy of Monsters</w:t>
      </w:r>
      <w:r w:rsidRPr="000F60E1">
        <w:t> pro Apple TV+ nebo filmová adaptace posledního románu Dana Browna </w:t>
      </w:r>
      <w:r w:rsidRPr="00E27815">
        <w:t>Tajemství všech tajemství</w:t>
      </w:r>
      <w:r w:rsidRPr="000F60E1">
        <w:t>.</w:t>
      </w:r>
      <w:r>
        <w:t xml:space="preserve"> Dalšími významnými projekty, které natáčely zahraniční filmové a televizní produkce v uplynulém roce na území ČR jsou sci-fi seriál Blade Runner 2099 (Amazon MGM Studios), fantasy seriál The Wheel of Time (Amazon Prime Video) nebo celovečerní film Frankenstein (dokončovací práce pro Netflix).</w:t>
      </w:r>
    </w:p>
    <w:p w14:paraId="3360DA85" w14:textId="61E15FA2" w:rsidR="009624FB" w:rsidRDefault="009624FB" w:rsidP="009624FB">
      <w:pPr>
        <w:spacing w:line="240" w:lineRule="auto"/>
      </w:pPr>
      <w:r w:rsidRPr="00F74793">
        <w:rPr>
          <w:b/>
          <w:bCs/>
        </w:rPr>
        <w:t>Reklama</w:t>
      </w:r>
      <w:r>
        <w:rPr>
          <w:b/>
          <w:bCs/>
        </w:rPr>
        <w:br/>
      </w:r>
      <w:r>
        <w:t xml:space="preserve">Po loňském výrazném oživení reklamního trhu pokračoval růst i v roce 2025, jeho tempo však bylo znatelně pomalejší. Zatímco v roce 2024 se celkový objem reklamní produkce po předchozím poklesu zvýšil přibližně o 400 milionů korun a poprvé překonal hranici 2,5 miliard korun, letos vzrostl už jen o něco více než 200 milionů na celkových 2,7 miliard korun. Toto číslo v podstatě kopíruje vzestup cen na trhu a při započtení stále se zvyšujících režijních nákladů tak reálné zisky společností fakticky klesají. Zpomalení přichází v době zásadních proměn celého reklamního průmyslu. Produkční společnosti stále silněji pociťují dopady nástupu generativní umělé inteligence i rostoucího podílu agenturních in-house produkcí, které postupně přebírají část zakázek. V detailním rozboru je patrné, že v důsledku těchto trendů a celkové globalizace trhu dochází k reálnému poklesu počtu reklamních zadavatelů. Současně se významná část marketingových rozpočtů přesouvá z televizní reklamy do jiných komunikačních kanálů, zejména do digitálních médií a sociálních sítí, což vede ke snižování objemu zakázek realizovaných v televizní produkci. </w:t>
      </w:r>
      <w:r w:rsidRPr="004422B8">
        <w:t>Tyto trendy představují významnou hrozbu pro nezávislé produkční společnosti i pro otevřenou kreativní soutěž na trhu a lze očekávat, že jejich vliv bude v dalších letech dále síl</w:t>
      </w:r>
      <w:r w:rsidR="00315F8B">
        <w:t>it a v následujících letech se dá očekávat spíše propad. AI aktuálně transformuje řadu oborů.</w:t>
      </w:r>
      <w:r>
        <w:t xml:space="preserve"> </w:t>
      </w:r>
    </w:p>
    <w:p w14:paraId="25ABDFB5" w14:textId="77777777" w:rsidR="009624FB" w:rsidRDefault="009624FB" w:rsidP="009624FB">
      <w:pPr>
        <w:spacing w:line="240" w:lineRule="auto"/>
      </w:pPr>
      <w:r w:rsidRPr="008B1044">
        <w:rPr>
          <w:b/>
          <w:bCs/>
        </w:rPr>
        <w:t>Regiony</w:t>
      </w:r>
      <w:r>
        <w:br/>
      </w:r>
      <w:r w:rsidRPr="008B1044">
        <w:t xml:space="preserve">České a moravské regiony podpořily audiovizi dosud nejvyšší částkou přes 109 milionů korun. Nejvíce prostředků plynulo z programu Filmových voucherů v Moravskoslezském a Ústeckém kraji v rámci Operačního programu Spravedlivá transformace. Ústecký program byl pro vyčerpání prostředků uzavřen na začátku roku. I přes velký zájem producentů bohužel nebude díky rozhodnutí vedení kraje pokračovat a ani nedofinancuje již natočené projekty. Ústecký region přitom dlouhodobě patří mezi nejvyhledávanější lokace pro české i zahraniční štáby. Moravskoslezský kraj chce naopak v programu pokračovat, což by znamenalo další desítky milionů korun pro filmové i televizní projekty natáčené v regionu. Nově se krátce po festivalu otevírá program Filmových voucherů také v Karlovarském kraji. Alokaci má cca 27 milionů korun a pravidla obdobná jako ve výše zmíněných krajích. Na mapu podpory se s 19 miliony korun vrátil Jihomoravský kraj a Město Brno, které po omezení činnosti Jihomoravského nadačního fondu vytvořily společný program podpory audiovize v rámci dotačních programů kraje. V loňském roce se otevřely nové programy také v Olomouckém a Pardubickém kraji, </w:t>
      </w:r>
      <w:r w:rsidRPr="008B1044">
        <w:lastRenderedPageBreak/>
        <w:t>které doposud udělovaly pouze individuální dotace. Další kraje, jako například Vysočina, zvýšily objem prostředků ve svých výzvách. Z mapy Česka tak bez dotačního programu zůstávají jen Středočeský a Liberecký kraj, které však do filmové produkce jednotlivě také finančně vstupují.</w:t>
      </w:r>
    </w:p>
    <w:p w14:paraId="4DB1EFDB" w14:textId="07E79D29" w:rsidR="009624FB" w:rsidRPr="00D05F08" w:rsidRDefault="009624FB" w:rsidP="009624FB">
      <w:pPr>
        <w:spacing w:line="240" w:lineRule="auto"/>
        <w:rPr>
          <w:b/>
          <w:bCs/>
        </w:rPr>
      </w:pPr>
      <w:r w:rsidRPr="008B1044">
        <w:rPr>
          <w:b/>
          <w:bCs/>
        </w:rPr>
        <w:t>Agora</w:t>
      </w:r>
      <w:r>
        <w:rPr>
          <w:b/>
          <w:bCs/>
        </w:rPr>
        <w:t>EU</w:t>
      </w:r>
      <w:r>
        <w:rPr>
          <w:b/>
          <w:bCs/>
        </w:rPr>
        <w:br/>
      </w:r>
      <w:r w:rsidRPr="00D05F08">
        <w:t>Evropská unie předložila návrh na program AgoraEU, který má od roku 2028 sjednotit podporu kultury, médií a občanské společnosti v rámci nového víceletého rozpočtu EU, je</w:t>
      </w:r>
      <w:r w:rsidR="006D26AF">
        <w:t>j</w:t>
      </w:r>
      <w:r w:rsidRPr="00D05F08">
        <w:t>ž nyní komentují členské státy unie. APA předložila v březnu MK ČR stanovisko k tomuto návrhu programu a zároveň nabídla</w:t>
      </w:r>
      <w:r>
        <w:rPr>
          <w:b/>
          <w:bCs/>
        </w:rPr>
        <w:t xml:space="preserve"> </w:t>
      </w:r>
      <w:r>
        <w:t>odbornou součinnost při dalším projednávání tohoto programu a při definování konkrétních vyjednávacích požadavků pro jednání v Radě EU.</w:t>
      </w:r>
      <w:r>
        <w:rPr>
          <w:b/>
          <w:bCs/>
        </w:rPr>
        <w:t xml:space="preserve"> </w:t>
      </w:r>
      <w:r w:rsidRPr="008B1044">
        <w:t>Asociace</w:t>
      </w:r>
      <w:r>
        <w:t xml:space="preserve"> například</w:t>
      </w:r>
      <w:r w:rsidRPr="008B1044">
        <w:t xml:space="preserve"> podporuje zachování samostatného, stabilního a dostatečně chráněného pilíře MEDIA+ </w:t>
      </w:r>
      <w:r>
        <w:t xml:space="preserve">nebo navrhuje </w:t>
      </w:r>
      <w:r w:rsidRPr="008B1044">
        <w:t>posílit ochranu nezávislých producentů, obnovit důraz na kulturní rozmanitost, zajistit minimální rozpočtovou alokaci pro MEDIA+</w:t>
      </w:r>
      <w:r>
        <w:t xml:space="preserve"> </w:t>
      </w:r>
      <w:r w:rsidRPr="008B1044">
        <w:t xml:space="preserve">a rozšířit podporu na produkci i distribuci. </w:t>
      </w:r>
    </w:p>
    <w:p w14:paraId="3E4B7AE0" w14:textId="1214BEB7" w:rsidR="009624FB" w:rsidRDefault="009624FB" w:rsidP="009624FB">
      <w:pPr>
        <w:spacing w:line="240" w:lineRule="auto"/>
      </w:pPr>
      <w:r w:rsidRPr="004339E6">
        <w:rPr>
          <w:b/>
          <w:bCs/>
        </w:rPr>
        <w:t>Úspěchy animace</w:t>
      </w:r>
      <w:r>
        <w:rPr>
          <w:b/>
          <w:bCs/>
        </w:rPr>
        <w:br/>
      </w:r>
      <w:r w:rsidRPr="004339E6">
        <w:t xml:space="preserve">Česká animace v roce 2025 </w:t>
      </w:r>
      <w:r>
        <w:t>dosáhla velkých úspěchů a</w:t>
      </w:r>
      <w:r w:rsidRPr="004339E6">
        <w:t xml:space="preserve"> znovu potvrdila své</w:t>
      </w:r>
      <w:r>
        <w:t xml:space="preserve"> dlouholeté stabilní a</w:t>
      </w:r>
      <w:r w:rsidRPr="004339E6">
        <w:t xml:space="preserve"> </w:t>
      </w:r>
      <w:r>
        <w:t xml:space="preserve">silné </w:t>
      </w:r>
      <w:r w:rsidRPr="004339E6">
        <w:t xml:space="preserve">postavení na mezinárodní scéně. </w:t>
      </w:r>
      <w:r>
        <w:t>Nejvýraznějších triumfů dosáhl</w:t>
      </w:r>
      <w:r w:rsidRPr="004339E6">
        <w:t xml:space="preserve"> celovečerní </w:t>
      </w:r>
      <w:r>
        <w:t xml:space="preserve">koprodukční </w:t>
      </w:r>
      <w:r w:rsidRPr="004339E6">
        <w:t>animovaný film Pohádky po babičce, k</w:t>
      </w:r>
      <w:r>
        <w:t>dyž</w:t>
      </w:r>
      <w:r w:rsidRPr="004339E6">
        <w:t xml:space="preserve"> získal nominaci na </w:t>
      </w:r>
      <w:r>
        <w:t>Evropské filmové ceny v kategorii Nejlepší celovečerní animovaný film a Nejlepší evropský film</w:t>
      </w:r>
      <w:r w:rsidRPr="004339E6">
        <w:t>,</w:t>
      </w:r>
      <w:r>
        <w:t xml:space="preserve"> dále</w:t>
      </w:r>
      <w:r w:rsidRPr="004339E6">
        <w:t xml:space="preserve"> krátký film I Died in Irpin, </w:t>
      </w:r>
      <w:r>
        <w:t>který získal cenu Best of the Best na „evropských animovaných Oscarech“</w:t>
      </w:r>
      <w:r w:rsidRPr="004339E6">
        <w:t xml:space="preserve"> Emile Awards a dostal se </w:t>
      </w:r>
      <w:r>
        <w:t xml:space="preserve">i </w:t>
      </w:r>
      <w:r w:rsidRPr="004339E6">
        <w:t>do užšího výběru pro Oscary</w:t>
      </w:r>
      <w:r>
        <w:t xml:space="preserve"> v kategorii Nejlepší krátký animovaný film</w:t>
      </w:r>
      <w:r w:rsidRPr="004339E6">
        <w:t xml:space="preserve">. Výrazného mezinárodního uznání se dočkal </w:t>
      </w:r>
      <w:r>
        <w:t>snímek</w:t>
      </w:r>
      <w:r w:rsidRPr="004339E6">
        <w:t xml:space="preserve"> Hurikán,</w:t>
      </w:r>
      <w:r>
        <w:t xml:space="preserve"> jenž</w:t>
      </w:r>
      <w:r w:rsidRPr="004339E6">
        <w:t xml:space="preserve"> byl zařazen do oscarového shortlistu</w:t>
      </w:r>
      <w:r>
        <w:t xml:space="preserve"> opět v kategorii krátkého filmu.</w:t>
      </w:r>
      <w:r w:rsidRPr="004339E6">
        <w:t xml:space="preserve"> </w:t>
      </w:r>
      <w:r>
        <w:t>D</w:t>
      </w:r>
      <w:r w:rsidRPr="004339E6">
        <w:t>ařilo se i dalším projektům včetně koprodukčního filmu Joko</w:t>
      </w:r>
      <w:r>
        <w:t>, když získal</w:t>
      </w:r>
      <w:r w:rsidRPr="004339E6">
        <w:t xml:space="preserve"> cenu za nejlepší hudbu na prestižním festivalu v</w:t>
      </w:r>
      <w:r>
        <w:t xml:space="preserve"> Annecy</w:t>
      </w:r>
      <w:r w:rsidRPr="004339E6">
        <w:t xml:space="preserve"> a obdržel nominace na Evropských animačních cenách</w:t>
      </w:r>
      <w:r>
        <w:t xml:space="preserve">. Bodovaly krátké animované filmy z FAMU, mezi nimi film Vlček, který se dostal mezi finalisty výběru na Studentské Oscary v kategorii animace. </w:t>
      </w:r>
    </w:p>
    <w:p w14:paraId="70B5C6CD" w14:textId="33218BD7" w:rsidR="009624FB" w:rsidRDefault="009624FB" w:rsidP="009624FB">
      <w:pPr>
        <w:spacing w:line="240" w:lineRule="auto"/>
      </w:pPr>
      <w:r w:rsidRPr="007A6A00">
        <w:rPr>
          <w:b/>
          <w:bCs/>
        </w:rPr>
        <w:t>Úspěchy film a dokument</w:t>
      </w:r>
      <w:r>
        <w:br/>
        <w:t>Největším mezinárodním úspěchem české kinematografie za rok 2025 se stal koprodukční dokument Pan Nikdo proti Putinovi oceněný Oscarem za nejlepší celovečerní dokumentární film. Film měl světovou premiéru na festivalu Sundance 2025, kde získal Zvláštní cenu poroty v kategorii World Cinema Documentary Competition, obdržel například i britskou cenu BAFTA. Jde o mimořádný úspěch, protože představuje první český dokument (dánsko-česká koprodukc</w:t>
      </w:r>
      <w:r w:rsidR="006D26AF">
        <w:t>e</w:t>
      </w:r>
      <w:r>
        <w:t>) oceněný Oscarem a jeden z nejvýraznějších počinů české kinematografie v novodobé historii. Úspěšný byl i koprodukční hraný film DJ Ahmet, který měl premiéru v soutěžní sekci na festivalu Sundance. Úspěchy si připsal i koprodukční snímek Je to ve hvězdách (Wishing on a Star) uváděný na prestižních zahraničních festivalech včetně festivalu v Benátkách. Česká republika má pravidelně zástupce na áčkových a dalších filmových festivalech po celém světě, nejvýraznější úspěch zaznamenal film Karavan, který vrátil po více než 30 letech české tvůrce do soutěžní sekce (</w:t>
      </w:r>
      <w:r w:rsidRPr="004033A7">
        <w:t xml:space="preserve">Un Certain Regard </w:t>
      </w:r>
      <w:r>
        <w:t>) v Cannes. Mezinárodní pozornost získal i další koprodukční projekt Franz nominovaný na Evropské filmové ceny v několika kategoriích.</w:t>
      </w:r>
    </w:p>
    <w:p w14:paraId="385B9206" w14:textId="2BFDC261" w:rsidR="00F8297D" w:rsidRDefault="00F8297D" w:rsidP="009624FB">
      <w:pPr>
        <w:spacing w:line="240" w:lineRule="auto"/>
      </w:pPr>
      <w:r w:rsidRPr="00F46CDA">
        <w:rPr>
          <w:rFonts w:ascii="Aptos" w:hAnsi="Aptos"/>
          <w:noProof/>
        </w:rPr>
        <w:drawing>
          <wp:inline distT="0" distB="0" distL="0" distR="0" wp14:anchorId="4116C0AE" wp14:editId="36006F43">
            <wp:extent cx="5760720" cy="790575"/>
            <wp:effectExtent l="0" t="0" r="5080" b="0"/>
            <wp:docPr id="194142557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425579" name=""/>
                    <pic:cNvPicPr/>
                  </pic:nvPicPr>
                  <pic:blipFill>
                    <a:blip r:embed="rId6"/>
                    <a:stretch>
                      <a:fillRect/>
                    </a:stretch>
                  </pic:blipFill>
                  <pic:spPr>
                    <a:xfrm>
                      <a:off x="0" y="0"/>
                      <a:ext cx="5760720" cy="790575"/>
                    </a:xfrm>
                    <a:prstGeom prst="rect">
                      <a:avLst/>
                    </a:prstGeom>
                  </pic:spPr>
                </pic:pic>
              </a:graphicData>
            </a:graphic>
          </wp:inline>
        </w:drawing>
      </w:r>
    </w:p>
    <w:p w14:paraId="708CD88E" w14:textId="77777777" w:rsidR="00AF6CFF" w:rsidRDefault="00AF6CFF" w:rsidP="009624FB">
      <w:pPr>
        <w:spacing w:line="240" w:lineRule="auto"/>
        <w:contextualSpacing/>
        <w:rPr>
          <w:b/>
          <w:bCs/>
        </w:rPr>
      </w:pPr>
    </w:p>
    <w:p w14:paraId="6375AA36" w14:textId="3185AEBA" w:rsidR="009624FB" w:rsidRPr="00ED4382" w:rsidRDefault="009624FB" w:rsidP="009624FB">
      <w:pPr>
        <w:spacing w:line="240" w:lineRule="auto"/>
        <w:contextualSpacing/>
      </w:pPr>
      <w:r w:rsidRPr="00ED4382">
        <w:rPr>
          <w:b/>
          <w:bCs/>
        </w:rPr>
        <w:t>APA – Asociace producentů v audiovizi</w:t>
      </w:r>
      <w:r w:rsidRPr="00ED4382">
        <w:br/>
      </w:r>
      <w:r w:rsidRPr="00235519">
        <w:rPr>
          <w:b/>
          <w:bCs/>
        </w:rPr>
        <w:t>Kon</w:t>
      </w:r>
      <w:r w:rsidR="00235519" w:rsidRPr="00235519">
        <w:rPr>
          <w:b/>
          <w:bCs/>
        </w:rPr>
        <w:t>t</w:t>
      </w:r>
      <w:r w:rsidRPr="00235519">
        <w:rPr>
          <w:b/>
          <w:bCs/>
        </w:rPr>
        <w:t>akt:</w:t>
      </w:r>
      <w:r w:rsidRPr="00ED4382">
        <w:t xml:space="preserve"> Martina Reková, </w:t>
      </w:r>
      <w:hyperlink r:id="rId7" w:history="1">
        <w:r w:rsidRPr="00ED4382">
          <w:rPr>
            <w:rStyle w:val="Hypertextovodkaz"/>
          </w:rPr>
          <w:t>martina.rekova@4press.cz</w:t>
        </w:r>
      </w:hyperlink>
      <w:r w:rsidRPr="00ED4382">
        <w:t xml:space="preserve">, +420 731 573 993, Klára Bobková, +420 731 514 462, </w:t>
      </w:r>
      <w:hyperlink r:id="rId8" w:history="1">
        <w:r w:rsidRPr="00ED4382">
          <w:rPr>
            <w:rStyle w:val="Hypertextovodkaz"/>
          </w:rPr>
          <w:t>klara.bobkova@4press.cz</w:t>
        </w:r>
      </w:hyperlink>
      <w:r w:rsidRPr="00ED4382">
        <w:t xml:space="preserve">, Národní 28, Praha 1, </w:t>
      </w:r>
      <w:hyperlink r:id="rId9" w:history="1">
        <w:r w:rsidRPr="00ED4382">
          <w:rPr>
            <w:rStyle w:val="Hypertextovodkaz"/>
          </w:rPr>
          <w:t>www.asoaciaceproducentu.cz</w:t>
        </w:r>
      </w:hyperlink>
      <w:r w:rsidRPr="00ED4382">
        <w:t xml:space="preserve"> </w:t>
      </w:r>
    </w:p>
    <w:p w14:paraId="77AAABF6" w14:textId="77777777" w:rsidR="00134A37" w:rsidRPr="009624FB" w:rsidRDefault="00134A37" w:rsidP="009624FB"/>
    <w:sectPr w:rsidR="00134A37" w:rsidRPr="009624FB" w:rsidSect="00AF6CFF">
      <w:footerReference w:type="even" r:id="rId10"/>
      <w:footerReference w:type="default" r:id="rId11"/>
      <w:footerReference w:type="first" r:id="rId12"/>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ECBE4" w14:textId="77777777" w:rsidR="00643056" w:rsidRDefault="00643056" w:rsidP="00FC7900">
      <w:pPr>
        <w:spacing w:after="0" w:line="240" w:lineRule="auto"/>
      </w:pPr>
      <w:r>
        <w:separator/>
      </w:r>
    </w:p>
  </w:endnote>
  <w:endnote w:type="continuationSeparator" w:id="0">
    <w:p w14:paraId="6FD7F8F5" w14:textId="77777777" w:rsidR="00643056" w:rsidRDefault="00643056" w:rsidP="00FC79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941E" w14:textId="52C9D2F7" w:rsidR="00FC7900" w:rsidRDefault="00FC7900">
    <w:pPr>
      <w:pStyle w:val="Zpat"/>
    </w:pPr>
    <w:r>
      <w:rPr>
        <w:noProof/>
      </w:rPr>
      <mc:AlternateContent>
        <mc:Choice Requires="wps">
          <w:drawing>
            <wp:anchor distT="0" distB="0" distL="0" distR="0" simplePos="0" relativeHeight="251659264" behindDoc="0" locked="0" layoutInCell="1" allowOverlap="1" wp14:anchorId="23AF258C" wp14:editId="02F08FED">
              <wp:simplePos x="635" y="635"/>
              <wp:positionH relativeFrom="page">
                <wp:align>center</wp:align>
              </wp:positionH>
              <wp:positionV relativeFrom="page">
                <wp:align>bottom</wp:align>
              </wp:positionV>
              <wp:extent cx="3100070" cy="357505"/>
              <wp:effectExtent l="0" t="0" r="5080" b="0"/>
              <wp:wrapNone/>
              <wp:docPr id="1486081975" name="Textové pole 2"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57505"/>
                      </a:xfrm>
                      <a:prstGeom prst="rect">
                        <a:avLst/>
                      </a:prstGeom>
                      <a:noFill/>
                      <a:ln>
                        <a:noFill/>
                      </a:ln>
                    </wps:spPr>
                    <wps:txbx>
                      <w:txbxContent>
                        <w:p w14:paraId="7BCC9BF9" w14:textId="7388A3ED" w:rsidR="00FC7900" w:rsidRPr="00FC7900" w:rsidRDefault="00FC7900" w:rsidP="00FC7900">
                          <w:pPr>
                            <w:spacing w:after="0"/>
                            <w:rPr>
                              <w:rFonts w:ascii="Aptos" w:eastAsia="Aptos" w:hAnsi="Aptos" w:cs="Aptos"/>
                              <w:noProof/>
                              <w:color w:val="000000"/>
                              <w:sz w:val="20"/>
                              <w:szCs w:val="20"/>
                            </w:rPr>
                          </w:pPr>
                          <w:r w:rsidRPr="00FC7900">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AF258C" id="_x0000_t202" coordsize="21600,21600" o:spt="202" path="m,l,21600r21600,l21600,xe">
              <v:stroke joinstyle="miter"/>
              <v:path gradientshapeok="t" o:connecttype="rect"/>
            </v:shapetype>
            <v:shape id="Textové pole 2" o:spid="_x0000_s1026" type="#_x0000_t202" alt="Confidential - Not for Public Consumption or Distribution" style="position:absolute;margin-left:0;margin-top:0;width:244.1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" filled="f" stroked="f">
              <v:fill o:detectmouseclick="t"/>
              <v:textbox style="mso-fit-shape-to-text:t" inset="0,0,0,15pt">
                <w:txbxContent>
                  <w:p w14:paraId="7BCC9BF9" w14:textId="7388A3ED" w:rsidR="00FC7900" w:rsidRPr="00FC7900" w:rsidRDefault="00FC7900" w:rsidP="00FC7900">
                    <w:pPr>
                      <w:spacing w:after="0"/>
                      <w:rPr>
                        <w:rFonts w:ascii="Aptos" w:eastAsia="Aptos" w:hAnsi="Aptos" w:cs="Aptos"/>
                        <w:noProof/>
                        <w:color w:val="000000"/>
                        <w:sz w:val="20"/>
                        <w:szCs w:val="20"/>
                      </w:rPr>
                    </w:pPr>
                    <w:r w:rsidRPr="00FC7900">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E7084" w14:textId="3E32B058" w:rsidR="00FC7900" w:rsidRDefault="00FC7900">
    <w:pPr>
      <w:pStyle w:val="Zpat"/>
    </w:pPr>
    <w:r>
      <w:rPr>
        <w:noProof/>
      </w:rPr>
      <mc:AlternateContent>
        <mc:Choice Requires="wps">
          <w:drawing>
            <wp:anchor distT="0" distB="0" distL="0" distR="0" simplePos="0" relativeHeight="251660288" behindDoc="0" locked="0" layoutInCell="1" allowOverlap="1" wp14:anchorId="39A3ED38" wp14:editId="243C7655">
              <wp:simplePos x="901700" y="10071100"/>
              <wp:positionH relativeFrom="page">
                <wp:align>center</wp:align>
              </wp:positionH>
              <wp:positionV relativeFrom="page">
                <wp:align>bottom</wp:align>
              </wp:positionV>
              <wp:extent cx="3100070" cy="357505"/>
              <wp:effectExtent l="0" t="0" r="5080" b="0"/>
              <wp:wrapNone/>
              <wp:docPr id="2018723331" name="Textové pole 3"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57505"/>
                      </a:xfrm>
                      <a:prstGeom prst="rect">
                        <a:avLst/>
                      </a:prstGeom>
                      <a:noFill/>
                      <a:ln>
                        <a:noFill/>
                      </a:ln>
                    </wps:spPr>
                    <wps:txbx>
                      <w:txbxContent>
                        <w:p w14:paraId="01133295" w14:textId="588833B4" w:rsidR="00FC7900" w:rsidRPr="00FC7900" w:rsidRDefault="00FC7900" w:rsidP="00FC7900">
                          <w:pPr>
                            <w:spacing w:after="0"/>
                            <w:rPr>
                              <w:rFonts w:ascii="Aptos" w:eastAsia="Aptos" w:hAnsi="Aptos" w:cs="Aptos"/>
                              <w:noProof/>
                              <w:color w:val="000000"/>
                              <w:sz w:val="20"/>
                              <w:szCs w:val="20"/>
                            </w:rPr>
                          </w:pPr>
                          <w:r w:rsidRPr="00FC7900">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A3ED38" id="_x0000_t202" coordsize="21600,21600" o:spt="202" path="m,l,21600r21600,l21600,xe">
              <v:stroke joinstyle="miter"/>
              <v:path gradientshapeok="t" o:connecttype="rect"/>
            </v:shapetype>
            <v:shape id="Textové pole 3" o:spid="_x0000_s1027" type="#_x0000_t202" alt="Confidential - Not for Public Consumption or Distribution" style="position:absolute;margin-left:0;margin-top:0;width:244.1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" filled="f" stroked="f">
              <v:fill o:detectmouseclick="t"/>
              <v:textbox style="mso-fit-shape-to-text:t" inset="0,0,0,15pt">
                <w:txbxContent>
                  <w:p w14:paraId="01133295" w14:textId="588833B4" w:rsidR="00FC7900" w:rsidRPr="00FC7900" w:rsidRDefault="00FC7900" w:rsidP="00FC7900">
                    <w:pPr>
                      <w:spacing w:after="0"/>
                      <w:rPr>
                        <w:rFonts w:ascii="Aptos" w:eastAsia="Aptos" w:hAnsi="Aptos" w:cs="Aptos"/>
                        <w:noProof/>
                        <w:color w:val="000000"/>
                        <w:sz w:val="20"/>
                        <w:szCs w:val="20"/>
                      </w:rPr>
                    </w:pPr>
                    <w:r w:rsidRPr="00FC7900">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62A82" w14:textId="0BDDA4A5" w:rsidR="00FC7900" w:rsidRDefault="00FC7900">
    <w:pPr>
      <w:pStyle w:val="Zpat"/>
    </w:pPr>
    <w:r>
      <w:rPr>
        <w:noProof/>
      </w:rPr>
      <mc:AlternateContent>
        <mc:Choice Requires="wps">
          <w:drawing>
            <wp:anchor distT="0" distB="0" distL="0" distR="0" simplePos="0" relativeHeight="251658240" behindDoc="0" locked="0" layoutInCell="1" allowOverlap="1" wp14:anchorId="510210DA" wp14:editId="5DA80FFD">
              <wp:simplePos x="635" y="635"/>
              <wp:positionH relativeFrom="page">
                <wp:align>center</wp:align>
              </wp:positionH>
              <wp:positionV relativeFrom="page">
                <wp:align>bottom</wp:align>
              </wp:positionV>
              <wp:extent cx="3100070" cy="357505"/>
              <wp:effectExtent l="0" t="0" r="5080" b="0"/>
              <wp:wrapNone/>
              <wp:docPr id="287874006" name="Textové pole 1" descr="Confidential - Not for Public Consumption or Distribu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100070" cy="357505"/>
                      </a:xfrm>
                      <a:prstGeom prst="rect">
                        <a:avLst/>
                      </a:prstGeom>
                      <a:noFill/>
                      <a:ln>
                        <a:noFill/>
                      </a:ln>
                    </wps:spPr>
                    <wps:txbx>
                      <w:txbxContent>
                        <w:p w14:paraId="52EC6476" w14:textId="51D6D211" w:rsidR="00FC7900" w:rsidRPr="00FC7900" w:rsidRDefault="00FC7900" w:rsidP="00FC7900">
                          <w:pPr>
                            <w:spacing w:after="0"/>
                            <w:rPr>
                              <w:rFonts w:ascii="Aptos" w:eastAsia="Aptos" w:hAnsi="Aptos" w:cs="Aptos"/>
                              <w:noProof/>
                              <w:color w:val="000000"/>
                              <w:sz w:val="20"/>
                              <w:szCs w:val="20"/>
                            </w:rPr>
                          </w:pPr>
                          <w:r w:rsidRPr="00FC7900">
                            <w:rPr>
                              <w:rFonts w:ascii="Aptos" w:eastAsia="Aptos" w:hAnsi="Aptos" w:cs="Aptos"/>
                              <w:noProof/>
                              <w:color w:val="000000"/>
                              <w:sz w:val="20"/>
                              <w:szCs w:val="20"/>
                            </w:rPr>
                            <w:t>Confidential - Not for Public Consumption or Distribution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10210DA" id="_x0000_t202" coordsize="21600,21600" o:spt="202" path="m,l,21600r21600,l21600,xe">
              <v:stroke joinstyle="miter"/>
              <v:path gradientshapeok="t" o:connecttype="rect"/>
            </v:shapetype>
            <v:shape id="Textové pole 1" o:spid="_x0000_s1028" type="#_x0000_t202" alt="Confidential - Not for Public Consumption or Distribution" style="position:absolute;margin-left:0;margin-top:0;width:244.1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" filled="f" stroked="f">
              <v:fill o:detectmouseclick="t"/>
              <v:textbox style="mso-fit-shape-to-text:t" inset="0,0,0,15pt">
                <w:txbxContent>
                  <w:p w14:paraId="52EC6476" w14:textId="51D6D211" w:rsidR="00FC7900" w:rsidRPr="00FC7900" w:rsidRDefault="00FC7900" w:rsidP="00FC7900">
                    <w:pPr>
                      <w:spacing w:after="0"/>
                      <w:rPr>
                        <w:rFonts w:ascii="Aptos" w:eastAsia="Aptos" w:hAnsi="Aptos" w:cs="Aptos"/>
                        <w:noProof/>
                        <w:color w:val="000000"/>
                        <w:sz w:val="20"/>
                        <w:szCs w:val="20"/>
                      </w:rPr>
                    </w:pPr>
                    <w:r w:rsidRPr="00FC7900">
                      <w:rPr>
                        <w:rFonts w:ascii="Aptos" w:eastAsia="Aptos" w:hAnsi="Aptos" w:cs="Aptos"/>
                        <w:noProof/>
                        <w:color w:val="000000"/>
                        <w:sz w:val="20"/>
                        <w:szCs w:val="20"/>
                      </w:rPr>
                      <w:t>Confidential - Not for Public Consumption or Distribution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FDAE5" w14:textId="77777777" w:rsidR="00643056" w:rsidRDefault="00643056" w:rsidP="00FC7900">
      <w:pPr>
        <w:spacing w:after="0" w:line="240" w:lineRule="auto"/>
      </w:pPr>
      <w:r>
        <w:separator/>
      </w:r>
    </w:p>
  </w:footnote>
  <w:footnote w:type="continuationSeparator" w:id="0">
    <w:p w14:paraId="51A20CBF" w14:textId="77777777" w:rsidR="00643056" w:rsidRDefault="00643056" w:rsidP="00FC79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FB"/>
    <w:rsid w:val="00064F85"/>
    <w:rsid w:val="00134A37"/>
    <w:rsid w:val="00203C6F"/>
    <w:rsid w:val="00234D72"/>
    <w:rsid w:val="00235519"/>
    <w:rsid w:val="00315F8B"/>
    <w:rsid w:val="00537D09"/>
    <w:rsid w:val="00643056"/>
    <w:rsid w:val="006D26AF"/>
    <w:rsid w:val="00740545"/>
    <w:rsid w:val="009624FB"/>
    <w:rsid w:val="00AF6CFF"/>
    <w:rsid w:val="00C609AB"/>
    <w:rsid w:val="00CD4848"/>
    <w:rsid w:val="00D21018"/>
    <w:rsid w:val="00E375B4"/>
    <w:rsid w:val="00F30AB1"/>
    <w:rsid w:val="00F8297D"/>
    <w:rsid w:val="00FC790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F3B7"/>
  <w15:chartTrackingRefBased/>
  <w15:docId w15:val="{6CE21A44-79C8-4515-8D00-852DF00C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624FB"/>
  </w:style>
  <w:style w:type="paragraph" w:styleId="Nadpis1">
    <w:name w:val="heading 1"/>
    <w:basedOn w:val="Normln"/>
    <w:next w:val="Normln"/>
    <w:link w:val="Nadpis1Char"/>
    <w:uiPriority w:val="9"/>
    <w:qFormat/>
    <w:rsid w:val="009624F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9624F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9624FB"/>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9624FB"/>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9624FB"/>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9624FB"/>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624FB"/>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624FB"/>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624FB"/>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624FB"/>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9624FB"/>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9624FB"/>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9624FB"/>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9624FB"/>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9624FB"/>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624FB"/>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624FB"/>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624FB"/>
    <w:rPr>
      <w:rFonts w:eastAsiaTheme="majorEastAsia" w:cstheme="majorBidi"/>
      <w:color w:val="272727" w:themeColor="text1" w:themeTint="D8"/>
    </w:rPr>
  </w:style>
  <w:style w:type="paragraph" w:styleId="Nzev">
    <w:name w:val="Title"/>
    <w:basedOn w:val="Normln"/>
    <w:next w:val="Normln"/>
    <w:link w:val="NzevChar"/>
    <w:uiPriority w:val="10"/>
    <w:qFormat/>
    <w:rsid w:val="009624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624FB"/>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624FB"/>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624FB"/>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624FB"/>
    <w:pPr>
      <w:spacing w:before="160"/>
      <w:jc w:val="center"/>
    </w:pPr>
    <w:rPr>
      <w:i/>
      <w:iCs/>
      <w:color w:val="404040" w:themeColor="text1" w:themeTint="BF"/>
    </w:rPr>
  </w:style>
  <w:style w:type="character" w:customStyle="1" w:styleId="CittChar">
    <w:name w:val="Citát Char"/>
    <w:basedOn w:val="Standardnpsmoodstavce"/>
    <w:link w:val="Citt"/>
    <w:uiPriority w:val="29"/>
    <w:rsid w:val="009624FB"/>
    <w:rPr>
      <w:i/>
      <w:iCs/>
      <w:color w:val="404040" w:themeColor="text1" w:themeTint="BF"/>
    </w:rPr>
  </w:style>
  <w:style w:type="paragraph" w:styleId="Odstavecseseznamem">
    <w:name w:val="List Paragraph"/>
    <w:basedOn w:val="Normln"/>
    <w:uiPriority w:val="34"/>
    <w:qFormat/>
    <w:rsid w:val="009624FB"/>
    <w:pPr>
      <w:ind w:left="720"/>
      <w:contextualSpacing/>
    </w:pPr>
  </w:style>
  <w:style w:type="character" w:styleId="Zdraznnintenzivn">
    <w:name w:val="Intense Emphasis"/>
    <w:basedOn w:val="Standardnpsmoodstavce"/>
    <w:uiPriority w:val="21"/>
    <w:qFormat/>
    <w:rsid w:val="009624FB"/>
    <w:rPr>
      <w:i/>
      <w:iCs/>
      <w:color w:val="2E74B5" w:themeColor="accent1" w:themeShade="BF"/>
    </w:rPr>
  </w:style>
  <w:style w:type="paragraph" w:styleId="Vrazncitt">
    <w:name w:val="Intense Quote"/>
    <w:basedOn w:val="Normln"/>
    <w:next w:val="Normln"/>
    <w:link w:val="VrazncittChar"/>
    <w:uiPriority w:val="30"/>
    <w:qFormat/>
    <w:rsid w:val="009624F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9624FB"/>
    <w:rPr>
      <w:i/>
      <w:iCs/>
      <w:color w:val="2E74B5" w:themeColor="accent1" w:themeShade="BF"/>
    </w:rPr>
  </w:style>
  <w:style w:type="character" w:styleId="Odkazintenzivn">
    <w:name w:val="Intense Reference"/>
    <w:basedOn w:val="Standardnpsmoodstavce"/>
    <w:uiPriority w:val="32"/>
    <w:qFormat/>
    <w:rsid w:val="009624FB"/>
    <w:rPr>
      <w:b/>
      <w:bCs/>
      <w:smallCaps/>
      <w:color w:val="2E74B5" w:themeColor="accent1" w:themeShade="BF"/>
      <w:spacing w:val="5"/>
    </w:rPr>
  </w:style>
  <w:style w:type="character" w:styleId="Hypertextovodkaz">
    <w:name w:val="Hyperlink"/>
    <w:rsid w:val="009624FB"/>
    <w:rPr>
      <w:color w:val="000080"/>
      <w:u w:val="single"/>
    </w:rPr>
  </w:style>
  <w:style w:type="paragraph" w:styleId="Zpat">
    <w:name w:val="footer"/>
    <w:basedOn w:val="Normln"/>
    <w:link w:val="ZpatChar"/>
    <w:uiPriority w:val="99"/>
    <w:unhideWhenUsed/>
    <w:rsid w:val="00FC7900"/>
    <w:pPr>
      <w:tabs>
        <w:tab w:val="center" w:pos="4536"/>
        <w:tab w:val="right" w:pos="9072"/>
      </w:tabs>
      <w:spacing w:after="0" w:line="240" w:lineRule="auto"/>
    </w:pPr>
  </w:style>
  <w:style w:type="character" w:customStyle="1" w:styleId="ZpatChar">
    <w:name w:val="Zápatí Char"/>
    <w:basedOn w:val="Standardnpsmoodstavce"/>
    <w:link w:val="Zpat"/>
    <w:uiPriority w:val="99"/>
    <w:rsid w:val="00FC79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lara.bobkova@4press.cz"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tina.rekova@4press.cz" TargetMode="Externa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asoaciaceproducentu.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1832</Words>
  <Characters>10814</Characters>
  <Application>Microsoft Office Word</Application>
  <DocSecurity>4</DocSecurity>
  <Lines>90</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Reková</dc:creator>
  <cp:keywords/>
  <dc:description/>
  <cp:lastModifiedBy>Martina Vojtěchovská (Omnicom)</cp:lastModifiedBy>
  <cp:revision>2</cp:revision>
  <dcterms:created xsi:type="dcterms:W3CDTF">2026-07-05T09:16:00Z</dcterms:created>
  <dcterms:modified xsi:type="dcterms:W3CDTF">2026-07-05T09:16:00Z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11289bd6,5893cfb7,78534603</vt:lpwstr>
  </property>
  <property fmtid="{D5CDD505-2E9C-101B-9397-08002B2CF9AE}" pid="3" name="ClassificationContentMarkingFooterFontProps">
    <vt:lpwstr>#000000,10,Aptos</vt:lpwstr>
  </property>
  <property fmtid="{D5CDD505-2E9C-101B-9397-08002B2CF9AE}" pid="4" name="ClassificationContentMarkingFooterText">
    <vt:lpwstr>Confidential - Not for Public Consumption or Distribution</vt:lpwstr>
  </property>
  <property fmtid="{D5CDD505-2E9C-101B-9397-08002B2CF9AE}" pid="5" name="MSIP_Label_8e19d756-792e-42a1-bcad-4cb9051ddd2d_Enabled">
    <vt:lpwstr>true</vt:lpwstr>
  </property>
  <property fmtid="{D5CDD505-2E9C-101B-9397-08002B2CF9AE}" pid="6" name="MSIP_Label_8e19d756-792e-42a1-bcad-4cb9051ddd2d_SetDate">
    <vt:lpwstr>2026-07-05T09:16:25Z</vt:lpwstr>
  </property>
  <property fmtid="{D5CDD505-2E9C-101B-9397-08002B2CF9AE}" pid="7" name="MSIP_Label_8e19d756-792e-42a1-bcad-4cb9051ddd2d_Method">
    <vt:lpwstr>Standard</vt:lpwstr>
  </property>
  <property fmtid="{D5CDD505-2E9C-101B-9397-08002B2CF9AE}" pid="8" name="MSIP_Label_8e19d756-792e-42a1-bcad-4cb9051ddd2d_Name">
    <vt:lpwstr>Confidential</vt:lpwstr>
  </property>
  <property fmtid="{D5CDD505-2E9C-101B-9397-08002B2CF9AE}" pid="9" name="MSIP_Label_8e19d756-792e-42a1-bcad-4cb9051ddd2d_SiteId">
    <vt:lpwstr>41eb501a-f671-4ce0-a5bf-b64168c3705f</vt:lpwstr>
  </property>
  <property fmtid="{D5CDD505-2E9C-101B-9397-08002B2CF9AE}" pid="10" name="MSIP_Label_8e19d756-792e-42a1-bcad-4cb9051ddd2d_ActionId">
    <vt:lpwstr>65886986-971e-433d-a7b7-4a9e413d82a0</vt:lpwstr>
  </property>
  <property fmtid="{D5CDD505-2E9C-101B-9397-08002B2CF9AE}" pid="11" name="MSIP_Label_8e19d756-792e-42a1-bcad-4cb9051ddd2d_ContentBits">
    <vt:lpwstr>2</vt:lpwstr>
  </property>
  <property fmtid="{D5CDD505-2E9C-101B-9397-08002B2CF9AE}" pid="12" name="MSIP_Label_8e19d756-792e-42a1-bcad-4cb9051ddd2d_Tag">
    <vt:lpwstr>10, 3, 0, 1</vt:lpwstr>
  </property>
</Properties>
</file>