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9DB" w:rsidRPr="007479DB" w:rsidRDefault="007479DB" w:rsidP="007479DB">
      <w:pPr>
        <w:spacing w:after="300" w:line="300" w:lineRule="atLeast"/>
        <w:outlineLvl w:val="0"/>
        <w:rPr>
          <w:rFonts w:ascii="Arial" w:eastAsia="Times New Roman" w:hAnsi="Arial" w:cs="Arial"/>
          <w:b/>
          <w:bCs/>
          <w:color w:val="150988"/>
          <w:kern w:val="36"/>
          <w:sz w:val="27"/>
          <w:szCs w:val="27"/>
          <w:lang w:val="en-CA" w:eastAsia="cs-CZ"/>
        </w:rPr>
      </w:pPr>
      <w:bookmarkStart w:id="0" w:name="_GoBack"/>
      <w:bookmarkEnd w:id="0"/>
      <w:r w:rsidRPr="007479DB">
        <w:rPr>
          <w:rFonts w:ascii="Arial" w:eastAsia="Times New Roman" w:hAnsi="Arial" w:cs="Arial"/>
          <w:b/>
          <w:bCs/>
          <w:color w:val="150988"/>
          <w:kern w:val="36"/>
          <w:sz w:val="27"/>
          <w:szCs w:val="27"/>
          <w:lang w:val="en-CA" w:eastAsia="cs-CZ"/>
        </w:rPr>
        <w:t>Central European Media Enterprises to Be Acquired by PPF</w:t>
      </w:r>
    </w:p>
    <w:p w:rsidR="007479DB" w:rsidRPr="007479DB" w:rsidRDefault="007479DB" w:rsidP="007479DB">
      <w:pPr>
        <w:spacing w:after="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October 27, 2019</w:t>
      </w:r>
    </w:p>
    <w:p w:rsidR="007479DB" w:rsidRPr="007479DB" w:rsidRDefault="007479DB" w:rsidP="007479DB">
      <w:pPr>
        <w:spacing w:after="0" w:line="300" w:lineRule="atLeast"/>
        <w:rPr>
          <w:rFonts w:ascii="Arial" w:eastAsia="Times New Roman" w:hAnsi="Arial" w:cs="Arial"/>
          <w:color w:val="4F5357"/>
          <w:sz w:val="18"/>
          <w:szCs w:val="18"/>
          <w:lang w:val="en-CA" w:eastAsia="cs-CZ"/>
        </w:rPr>
      </w:pPr>
    </w:p>
    <w:p w:rsidR="007479DB" w:rsidRPr="007479DB" w:rsidRDefault="007479DB" w:rsidP="007479DB">
      <w:pPr>
        <w:spacing w:before="150" w:after="150" w:line="300" w:lineRule="atLeast"/>
        <w:jc w:val="center"/>
        <w:rPr>
          <w:rFonts w:ascii="Arial" w:eastAsia="Times New Roman" w:hAnsi="Arial" w:cs="Arial"/>
          <w:color w:val="4F5357"/>
          <w:sz w:val="18"/>
          <w:szCs w:val="18"/>
          <w:lang w:val="en-CA" w:eastAsia="cs-CZ"/>
        </w:rPr>
      </w:pPr>
      <w:r w:rsidRPr="007479DB">
        <w:rPr>
          <w:rFonts w:ascii="Arial" w:eastAsia="Times New Roman" w:hAnsi="Arial" w:cs="Arial"/>
          <w:b/>
          <w:bCs/>
          <w:i/>
          <w:iCs/>
          <w:color w:val="4F5357"/>
          <w:sz w:val="18"/>
          <w:szCs w:val="18"/>
          <w:lang w:val="en-CA" w:eastAsia="cs-CZ"/>
        </w:rPr>
        <w:t>Transaction Valued at Approximately US$ 2.1 Billion</w:t>
      </w:r>
      <w:r w:rsidRPr="007479DB">
        <w:rPr>
          <w:rFonts w:ascii="Arial" w:eastAsia="Times New Roman" w:hAnsi="Arial" w:cs="Arial"/>
          <w:b/>
          <w:bCs/>
          <w:color w:val="4F5357"/>
          <w:sz w:val="18"/>
          <w:szCs w:val="18"/>
          <w:lang w:val="en-CA" w:eastAsia="cs-CZ"/>
        </w:rPr>
        <w:t xml:space="preserve"> </w:t>
      </w:r>
    </w:p>
    <w:p w:rsidR="007479DB" w:rsidRPr="007479DB" w:rsidRDefault="007479DB" w:rsidP="007479DB">
      <w:pPr>
        <w:spacing w:before="150" w:after="150" w:line="300" w:lineRule="atLeast"/>
        <w:jc w:val="center"/>
        <w:rPr>
          <w:rFonts w:ascii="Arial" w:eastAsia="Times New Roman" w:hAnsi="Arial" w:cs="Arial"/>
          <w:color w:val="4F5357"/>
          <w:sz w:val="18"/>
          <w:szCs w:val="18"/>
          <w:lang w:val="en-CA" w:eastAsia="cs-CZ"/>
        </w:rPr>
      </w:pPr>
      <w:r w:rsidRPr="007479DB">
        <w:rPr>
          <w:rFonts w:ascii="Arial" w:eastAsia="Times New Roman" w:hAnsi="Arial" w:cs="Arial"/>
          <w:b/>
          <w:bCs/>
          <w:i/>
          <w:iCs/>
          <w:color w:val="4F5357"/>
          <w:sz w:val="18"/>
          <w:szCs w:val="18"/>
          <w:lang w:val="en-CA" w:eastAsia="cs-CZ"/>
        </w:rPr>
        <w:t>US$ 4.58 Per Class A Common Share in Cash</w:t>
      </w:r>
      <w:r w:rsidRPr="007479DB">
        <w:rPr>
          <w:rFonts w:ascii="Arial" w:eastAsia="Times New Roman" w:hAnsi="Arial" w:cs="Arial"/>
          <w:b/>
          <w:bCs/>
          <w:color w:val="4F5357"/>
          <w:sz w:val="18"/>
          <w:szCs w:val="18"/>
          <w:lang w:val="en-CA" w:eastAsia="cs-CZ"/>
        </w:rPr>
        <w:t xml:space="preserve"> </w:t>
      </w:r>
    </w:p>
    <w:p w:rsidR="007479DB" w:rsidRPr="007479DB" w:rsidRDefault="007479DB" w:rsidP="007479DB">
      <w:pPr>
        <w:spacing w:before="150" w:after="150" w:line="300" w:lineRule="atLeast"/>
        <w:jc w:val="center"/>
        <w:rPr>
          <w:rFonts w:ascii="Arial" w:eastAsia="Times New Roman" w:hAnsi="Arial" w:cs="Arial"/>
          <w:color w:val="4F5357"/>
          <w:sz w:val="18"/>
          <w:szCs w:val="18"/>
          <w:lang w:val="en-CA" w:eastAsia="cs-CZ"/>
        </w:rPr>
      </w:pPr>
      <w:r w:rsidRPr="007479DB">
        <w:rPr>
          <w:rFonts w:ascii="Arial" w:eastAsia="Times New Roman" w:hAnsi="Arial" w:cs="Arial"/>
          <w:b/>
          <w:bCs/>
          <w:i/>
          <w:iCs/>
          <w:color w:val="4F5357"/>
          <w:sz w:val="18"/>
          <w:szCs w:val="18"/>
          <w:lang w:val="en-CA" w:eastAsia="cs-CZ"/>
        </w:rPr>
        <w:t>32% Premium to Unaffected Share Price</w:t>
      </w:r>
      <w:r w:rsidRPr="007479DB">
        <w:rPr>
          <w:rFonts w:ascii="Arial" w:eastAsia="Times New Roman" w:hAnsi="Arial" w:cs="Arial"/>
          <w:b/>
          <w:bCs/>
          <w:color w:val="4F5357"/>
          <w:sz w:val="18"/>
          <w:szCs w:val="18"/>
          <w:lang w:val="en-CA" w:eastAsia="cs-CZ"/>
        </w:rPr>
        <w:t xml:space="preserve">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 xml:space="preserve">HAMILTON, Bermuda--(BUSINESS </w:t>
      </w:r>
      <w:proofErr w:type="gramStart"/>
      <w:r w:rsidRPr="007479DB">
        <w:rPr>
          <w:rFonts w:ascii="Arial" w:eastAsia="Times New Roman" w:hAnsi="Arial" w:cs="Arial"/>
          <w:color w:val="4F5357"/>
          <w:sz w:val="18"/>
          <w:szCs w:val="18"/>
          <w:lang w:val="en-CA" w:eastAsia="cs-CZ"/>
        </w:rPr>
        <w:t>WIRE)--</w:t>
      </w:r>
      <w:proofErr w:type="gramEnd"/>
      <w:r w:rsidRPr="007479DB">
        <w:rPr>
          <w:rFonts w:ascii="Arial" w:eastAsia="Times New Roman" w:hAnsi="Arial" w:cs="Arial"/>
          <w:color w:val="4F5357"/>
          <w:sz w:val="18"/>
          <w:szCs w:val="18"/>
          <w:lang w:val="en-CA" w:eastAsia="cs-CZ"/>
        </w:rPr>
        <w:t xml:space="preserve"> Central European Media Enterprises Ltd. (“CME” or the “Company”) (NASDAQ/Prague Stock Exchange: CETV) today announced that it has entered into a definitive agreement to be acquired by an affiliate of PPF Group N.V. (“PPF Group”) in a cash transaction valued at approximately US$ 2.1 billion.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 xml:space="preserve">Under the terms of the agreement, holders of all of CME’s issued and outstanding Class A common shares will receive US$ 4.58 per share. This valuation represents a premium of approximately 32% to CME’s share price prior to the announcement on March 25, 2019 that the Company was commencing a process to explore and evaluate potential strategic alternatives.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 xml:space="preserve">John </w:t>
      </w:r>
      <w:proofErr w:type="spellStart"/>
      <w:r w:rsidRPr="007479DB">
        <w:rPr>
          <w:rFonts w:ascii="Arial" w:eastAsia="Times New Roman" w:hAnsi="Arial" w:cs="Arial"/>
          <w:color w:val="4F5357"/>
          <w:sz w:val="18"/>
          <w:szCs w:val="18"/>
          <w:lang w:val="en-CA" w:eastAsia="cs-CZ"/>
        </w:rPr>
        <w:t>Billock</w:t>
      </w:r>
      <w:proofErr w:type="spellEnd"/>
      <w:r w:rsidRPr="007479DB">
        <w:rPr>
          <w:rFonts w:ascii="Arial" w:eastAsia="Times New Roman" w:hAnsi="Arial" w:cs="Arial"/>
          <w:color w:val="4F5357"/>
          <w:sz w:val="18"/>
          <w:szCs w:val="18"/>
          <w:lang w:val="en-CA" w:eastAsia="cs-CZ"/>
        </w:rPr>
        <w:t xml:space="preserve">, Chairman of the CME Board of Directors, said, “The Special Committee of the Board, together with our advisors, conducted an extensive review of alternatives, which involved outreach to and engagement with a significant number of strategic and financial parties. This announcement today reaffirms our commitment to deliver value to all shareholders.”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 xml:space="preserve">In a joint statement, Michael Del Nin and Christoph </w:t>
      </w:r>
      <w:proofErr w:type="spellStart"/>
      <w:r w:rsidRPr="007479DB">
        <w:rPr>
          <w:rFonts w:ascii="Arial" w:eastAsia="Times New Roman" w:hAnsi="Arial" w:cs="Arial"/>
          <w:color w:val="4F5357"/>
          <w:sz w:val="18"/>
          <w:szCs w:val="18"/>
          <w:lang w:val="en-CA" w:eastAsia="cs-CZ"/>
        </w:rPr>
        <w:t>Mainusch</w:t>
      </w:r>
      <w:proofErr w:type="spellEnd"/>
      <w:r w:rsidRPr="007479DB">
        <w:rPr>
          <w:rFonts w:ascii="Arial" w:eastAsia="Times New Roman" w:hAnsi="Arial" w:cs="Arial"/>
          <w:color w:val="4F5357"/>
          <w:sz w:val="18"/>
          <w:szCs w:val="18"/>
          <w:lang w:val="en-CA" w:eastAsia="cs-CZ"/>
        </w:rPr>
        <w:t xml:space="preserve">, Co-Chief Executive Officers, said, “Over the course of the last six years, while transforming the business and delivering a continuous stretch of astonishing profitability growth, our primary focus has been on creating value for our owners. This transaction, which is the culmination of those efforts, is the right one for our shareholders and a satisfying conclusion to one of the most successful turnarounds of a leading media company in recent times. We are pleased that the PPF Group, with a strong track record as operators of businesses across many industries, shares our perspective on the importance of local content and its ability to attract large audiences to television.”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 xml:space="preserve">The agreement has been approved unanimously by CME’s Board of Directors, upon the recommendation of the Special Committee of the Board. CME’s largest shareholder, AT&amp;T Inc., has agreed to vote in favor of the transaction. The acquisition is expected to be completed around the middle of 2020, subject to the receipt of regulatory approvals and the satisfaction of customary closing conditions. The consummation of the transaction is not subject to any financing contingencies.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 xml:space="preserve">The Company is being advised by Allen &amp; Company LLC and Bank of America Merrill Lynch as its financial advisors, and Covington &amp; Burling LLP as its legal advisor.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i/>
          <w:iCs/>
          <w:color w:val="4F5357"/>
          <w:sz w:val="18"/>
          <w:szCs w:val="18"/>
          <w:lang w:val="en-CA" w:eastAsia="cs-CZ"/>
        </w:rPr>
        <w:t>About CME</w:t>
      </w:r>
      <w:r w:rsidRPr="007479DB">
        <w:rPr>
          <w:rFonts w:ascii="Arial" w:eastAsia="Times New Roman" w:hAnsi="Arial" w:cs="Arial"/>
          <w:color w:val="4F5357"/>
          <w:sz w:val="18"/>
          <w:szCs w:val="18"/>
          <w:lang w:val="en-CA" w:eastAsia="cs-CZ"/>
        </w:rPr>
        <w:t xml:space="preserve">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CME is a media and entertainment company operating leading businesses in five Central and Eastern European markets with an aggregate population of approximately 45 million people. CME's operations broadcast 30 television channels in Bulgaria (</w:t>
      </w:r>
      <w:proofErr w:type="spellStart"/>
      <w:r w:rsidRPr="007479DB">
        <w:rPr>
          <w:rFonts w:ascii="Arial" w:eastAsia="Times New Roman" w:hAnsi="Arial" w:cs="Arial"/>
          <w:color w:val="4F5357"/>
          <w:sz w:val="18"/>
          <w:szCs w:val="18"/>
          <w:lang w:val="en-CA" w:eastAsia="cs-CZ"/>
        </w:rPr>
        <w:t>bTV</w:t>
      </w:r>
      <w:proofErr w:type="spellEnd"/>
      <w:r w:rsidRPr="007479DB">
        <w:rPr>
          <w:rFonts w:ascii="Arial" w:eastAsia="Times New Roman" w:hAnsi="Arial" w:cs="Arial"/>
          <w:color w:val="4F5357"/>
          <w:sz w:val="18"/>
          <w:szCs w:val="18"/>
          <w:lang w:val="en-CA" w:eastAsia="cs-CZ"/>
        </w:rPr>
        <w:t xml:space="preserve">, </w:t>
      </w:r>
      <w:proofErr w:type="spellStart"/>
      <w:r w:rsidRPr="007479DB">
        <w:rPr>
          <w:rFonts w:ascii="Arial" w:eastAsia="Times New Roman" w:hAnsi="Arial" w:cs="Arial"/>
          <w:color w:val="4F5357"/>
          <w:sz w:val="18"/>
          <w:szCs w:val="18"/>
          <w:lang w:val="en-CA" w:eastAsia="cs-CZ"/>
        </w:rPr>
        <w:t>bTV</w:t>
      </w:r>
      <w:proofErr w:type="spellEnd"/>
      <w:r w:rsidRPr="007479DB">
        <w:rPr>
          <w:rFonts w:ascii="Arial" w:eastAsia="Times New Roman" w:hAnsi="Arial" w:cs="Arial"/>
          <w:color w:val="4F5357"/>
          <w:sz w:val="18"/>
          <w:szCs w:val="18"/>
          <w:lang w:val="en-CA" w:eastAsia="cs-CZ"/>
        </w:rPr>
        <w:t xml:space="preserve"> Cinema, </w:t>
      </w:r>
      <w:proofErr w:type="spellStart"/>
      <w:r w:rsidRPr="007479DB">
        <w:rPr>
          <w:rFonts w:ascii="Arial" w:eastAsia="Times New Roman" w:hAnsi="Arial" w:cs="Arial"/>
          <w:color w:val="4F5357"/>
          <w:sz w:val="18"/>
          <w:szCs w:val="18"/>
          <w:lang w:val="en-CA" w:eastAsia="cs-CZ"/>
        </w:rPr>
        <w:t>bTV</w:t>
      </w:r>
      <w:proofErr w:type="spellEnd"/>
      <w:r w:rsidRPr="007479DB">
        <w:rPr>
          <w:rFonts w:ascii="Arial" w:eastAsia="Times New Roman" w:hAnsi="Arial" w:cs="Arial"/>
          <w:color w:val="4F5357"/>
          <w:sz w:val="18"/>
          <w:szCs w:val="18"/>
          <w:lang w:val="en-CA" w:eastAsia="cs-CZ"/>
        </w:rPr>
        <w:t xml:space="preserve"> Comedy, </w:t>
      </w:r>
      <w:proofErr w:type="spellStart"/>
      <w:r w:rsidRPr="007479DB">
        <w:rPr>
          <w:rFonts w:ascii="Arial" w:eastAsia="Times New Roman" w:hAnsi="Arial" w:cs="Arial"/>
          <w:color w:val="4F5357"/>
          <w:sz w:val="18"/>
          <w:szCs w:val="18"/>
          <w:lang w:val="en-CA" w:eastAsia="cs-CZ"/>
        </w:rPr>
        <w:t>bTV</w:t>
      </w:r>
      <w:proofErr w:type="spellEnd"/>
      <w:r w:rsidRPr="007479DB">
        <w:rPr>
          <w:rFonts w:ascii="Arial" w:eastAsia="Times New Roman" w:hAnsi="Arial" w:cs="Arial"/>
          <w:color w:val="4F5357"/>
          <w:sz w:val="18"/>
          <w:szCs w:val="18"/>
          <w:lang w:val="en-CA" w:eastAsia="cs-CZ"/>
        </w:rPr>
        <w:t xml:space="preserve"> Action, </w:t>
      </w:r>
      <w:proofErr w:type="spellStart"/>
      <w:r w:rsidRPr="007479DB">
        <w:rPr>
          <w:rFonts w:ascii="Arial" w:eastAsia="Times New Roman" w:hAnsi="Arial" w:cs="Arial"/>
          <w:color w:val="4F5357"/>
          <w:sz w:val="18"/>
          <w:szCs w:val="18"/>
          <w:lang w:val="en-CA" w:eastAsia="cs-CZ"/>
        </w:rPr>
        <w:t>bTV</w:t>
      </w:r>
      <w:proofErr w:type="spellEnd"/>
      <w:r w:rsidRPr="007479DB">
        <w:rPr>
          <w:rFonts w:ascii="Arial" w:eastAsia="Times New Roman" w:hAnsi="Arial" w:cs="Arial"/>
          <w:color w:val="4F5357"/>
          <w:sz w:val="18"/>
          <w:szCs w:val="18"/>
          <w:lang w:val="en-CA" w:eastAsia="cs-CZ"/>
        </w:rPr>
        <w:t xml:space="preserve"> Lady and Ring), the Czech Republic (Nova, Nova 2, Nova Cinema, Nova Sport 1, Nova Sport 2, Nova International, Nova Action and Nova Gold), Romania (PRO TV, PRO 2, PRO X, PRO GOLD, PRO CINEMA, PRO TV International and PRO TV Chisinau), the Slovak Republic (TV Markíza, Markíza International, </w:t>
      </w:r>
      <w:proofErr w:type="spellStart"/>
      <w:r w:rsidRPr="007479DB">
        <w:rPr>
          <w:rFonts w:ascii="Arial" w:eastAsia="Times New Roman" w:hAnsi="Arial" w:cs="Arial"/>
          <w:color w:val="4F5357"/>
          <w:sz w:val="18"/>
          <w:szCs w:val="18"/>
          <w:lang w:val="en-CA" w:eastAsia="cs-CZ"/>
        </w:rPr>
        <w:t>Doma</w:t>
      </w:r>
      <w:proofErr w:type="spellEnd"/>
      <w:r w:rsidRPr="007479DB">
        <w:rPr>
          <w:rFonts w:ascii="Arial" w:eastAsia="Times New Roman" w:hAnsi="Arial" w:cs="Arial"/>
          <w:color w:val="4F5357"/>
          <w:sz w:val="18"/>
          <w:szCs w:val="18"/>
          <w:lang w:val="en-CA" w:eastAsia="cs-CZ"/>
        </w:rPr>
        <w:t xml:space="preserve"> and </w:t>
      </w:r>
      <w:proofErr w:type="spellStart"/>
      <w:r w:rsidRPr="007479DB">
        <w:rPr>
          <w:rFonts w:ascii="Arial" w:eastAsia="Times New Roman" w:hAnsi="Arial" w:cs="Arial"/>
          <w:color w:val="4F5357"/>
          <w:sz w:val="18"/>
          <w:szCs w:val="18"/>
          <w:lang w:val="en-CA" w:eastAsia="cs-CZ"/>
        </w:rPr>
        <w:t>Dajto</w:t>
      </w:r>
      <w:proofErr w:type="spellEnd"/>
      <w:r w:rsidRPr="007479DB">
        <w:rPr>
          <w:rFonts w:ascii="Arial" w:eastAsia="Times New Roman" w:hAnsi="Arial" w:cs="Arial"/>
          <w:color w:val="4F5357"/>
          <w:sz w:val="18"/>
          <w:szCs w:val="18"/>
          <w:lang w:val="en-CA" w:eastAsia="cs-CZ"/>
        </w:rPr>
        <w:t xml:space="preserve">) and Slovenia (POP TV, </w:t>
      </w:r>
      <w:proofErr w:type="spellStart"/>
      <w:r w:rsidRPr="007479DB">
        <w:rPr>
          <w:rFonts w:ascii="Arial" w:eastAsia="Times New Roman" w:hAnsi="Arial" w:cs="Arial"/>
          <w:color w:val="4F5357"/>
          <w:sz w:val="18"/>
          <w:szCs w:val="18"/>
          <w:lang w:val="en-CA" w:eastAsia="cs-CZ"/>
        </w:rPr>
        <w:lastRenderedPageBreak/>
        <w:t>Kanal</w:t>
      </w:r>
      <w:proofErr w:type="spellEnd"/>
      <w:r w:rsidRPr="007479DB">
        <w:rPr>
          <w:rFonts w:ascii="Arial" w:eastAsia="Times New Roman" w:hAnsi="Arial" w:cs="Arial"/>
          <w:color w:val="4F5357"/>
          <w:sz w:val="18"/>
          <w:szCs w:val="18"/>
          <w:lang w:val="en-CA" w:eastAsia="cs-CZ"/>
        </w:rPr>
        <w:t xml:space="preserve"> A, Brio, Oto and Kino). CME is traded on the NASDAQ Global Select Market and the Prague Stock Exchange under the ticker symbol “CETV”.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i/>
          <w:iCs/>
          <w:color w:val="4F5357"/>
          <w:sz w:val="18"/>
          <w:szCs w:val="18"/>
          <w:lang w:val="en-CA" w:eastAsia="cs-CZ"/>
        </w:rPr>
        <w:t>About PPF Group</w:t>
      </w:r>
      <w:r w:rsidRPr="007479DB">
        <w:rPr>
          <w:rFonts w:ascii="Arial" w:eastAsia="Times New Roman" w:hAnsi="Arial" w:cs="Arial"/>
          <w:color w:val="4F5357"/>
          <w:sz w:val="18"/>
          <w:szCs w:val="18"/>
          <w:lang w:val="en-CA" w:eastAsia="cs-CZ"/>
        </w:rPr>
        <w:t xml:space="preserve">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 xml:space="preserve">PPF Group invests in multiple market segments such as financial services, telecommunications, biotechnology, real estate and mechanical engineering. The reach of PPF Group spans from Europe to North America and across Asia. PPF Group owns assets exceeding EUR 45 billion (as of December 2018).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i/>
          <w:iCs/>
          <w:color w:val="4F5357"/>
          <w:sz w:val="18"/>
          <w:szCs w:val="18"/>
          <w:lang w:val="en-CA" w:eastAsia="cs-CZ"/>
        </w:rPr>
        <w:t>Forward-Looking Statements</w:t>
      </w:r>
      <w:r w:rsidRPr="007479DB">
        <w:rPr>
          <w:rFonts w:ascii="Arial" w:eastAsia="Times New Roman" w:hAnsi="Arial" w:cs="Arial"/>
          <w:color w:val="4F5357"/>
          <w:sz w:val="18"/>
          <w:szCs w:val="18"/>
          <w:lang w:val="en-CA" w:eastAsia="cs-CZ"/>
        </w:rPr>
        <w:t xml:space="preserve">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 xml:space="preserve">This press release contains forward-looking statements. For all forward-looking statements, we claim the protection of the safe harbor for forward-looking statements contained in the Private Securities Litigation Reform Act of 1995. Forward-looking statements are inherently subject to risks and uncertainties, many of which cannot be predicted with accuracy or are otherwise beyond our control and some of which might not even be anticipated. Forward-looking statements reflect our current views with respect to future events and because our business is subject to such risks and uncertainties, actual results, our strategic plan, our financial position, results of operations and cash flows could differ materially from those described in or contemplated by the forward-looking statements.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i/>
          <w:iCs/>
          <w:color w:val="4F5357"/>
          <w:sz w:val="18"/>
          <w:szCs w:val="18"/>
          <w:lang w:val="en-CA" w:eastAsia="cs-CZ"/>
        </w:rPr>
        <w:t>Additional Information About the Proposed Transaction and Where to Find it</w:t>
      </w:r>
      <w:r w:rsidRPr="007479DB">
        <w:rPr>
          <w:rFonts w:ascii="Arial" w:eastAsia="Times New Roman" w:hAnsi="Arial" w:cs="Arial"/>
          <w:color w:val="4F5357"/>
          <w:sz w:val="18"/>
          <w:szCs w:val="18"/>
          <w:lang w:val="en-CA" w:eastAsia="cs-CZ"/>
        </w:rPr>
        <w:t xml:space="preserve">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 xml:space="preserve">This communication relates to a proposed merger between CME and an affiliate of PPF Group N.V. that will be the subject of a proxy statement that CME intends to file with the U.S. Securities and Exchange Commission (the “SEC”). This communication does not constitute an offer to sell or the solicitation of an offer to buy any securities or a solicitation of any vote or </w:t>
      </w:r>
      <w:proofErr w:type="gramStart"/>
      <w:r w:rsidRPr="007479DB">
        <w:rPr>
          <w:rFonts w:ascii="Arial" w:eastAsia="Times New Roman" w:hAnsi="Arial" w:cs="Arial"/>
          <w:color w:val="4F5357"/>
          <w:sz w:val="18"/>
          <w:szCs w:val="18"/>
          <w:lang w:val="en-CA" w:eastAsia="cs-CZ"/>
        </w:rPr>
        <w:t>approval, and</w:t>
      </w:r>
      <w:proofErr w:type="gramEnd"/>
      <w:r w:rsidRPr="007479DB">
        <w:rPr>
          <w:rFonts w:ascii="Arial" w:eastAsia="Times New Roman" w:hAnsi="Arial" w:cs="Arial"/>
          <w:color w:val="4F5357"/>
          <w:sz w:val="18"/>
          <w:szCs w:val="18"/>
          <w:lang w:val="en-CA" w:eastAsia="cs-CZ"/>
        </w:rPr>
        <w:t xml:space="preserve"> is not a substitute for the proxy statement or any other document that CME may file with the SEC or send to its shareholders in connection with the proposed merger. Investors and shareholders are urged to read the proxy statement and all other relevant documents filed with the SEC or sent to CME’s shareholders as they become available because they will contain important information about the proposed merger. All documents, when filed, will be available free of charge at the SEC’s website (</w:t>
      </w:r>
      <w:hyperlink r:id="rId4" w:history="1">
        <w:r w:rsidRPr="007479DB">
          <w:rPr>
            <w:rFonts w:ascii="Arial" w:eastAsia="Times New Roman" w:hAnsi="Arial" w:cs="Arial"/>
            <w:color w:val="FC1C26"/>
            <w:sz w:val="18"/>
            <w:szCs w:val="18"/>
            <w:u w:val="single"/>
            <w:lang w:val="en-CA" w:eastAsia="cs-CZ"/>
          </w:rPr>
          <w:t>www.sec.gov</w:t>
        </w:r>
      </w:hyperlink>
      <w:r w:rsidRPr="007479DB">
        <w:rPr>
          <w:rFonts w:ascii="Arial" w:eastAsia="Times New Roman" w:hAnsi="Arial" w:cs="Arial"/>
          <w:color w:val="4F5357"/>
          <w:sz w:val="18"/>
          <w:szCs w:val="18"/>
          <w:lang w:val="en-CA" w:eastAsia="cs-CZ"/>
        </w:rPr>
        <w:t xml:space="preserve">). You may also obtain documents filed by CME with the SEC by writing to CME Investor Relations, </w:t>
      </w:r>
      <w:proofErr w:type="spellStart"/>
      <w:r w:rsidRPr="007479DB">
        <w:rPr>
          <w:rFonts w:ascii="Arial" w:eastAsia="Times New Roman" w:hAnsi="Arial" w:cs="Arial"/>
          <w:color w:val="4F5357"/>
          <w:sz w:val="18"/>
          <w:szCs w:val="18"/>
          <w:lang w:val="en-CA" w:eastAsia="cs-CZ"/>
        </w:rPr>
        <w:t>Krizeneckeho</w:t>
      </w:r>
      <w:proofErr w:type="spellEnd"/>
      <w:r w:rsidRPr="007479DB">
        <w:rPr>
          <w:rFonts w:ascii="Arial" w:eastAsia="Times New Roman" w:hAnsi="Arial" w:cs="Arial"/>
          <w:color w:val="4F5357"/>
          <w:sz w:val="18"/>
          <w:szCs w:val="18"/>
          <w:lang w:val="en-CA" w:eastAsia="cs-CZ"/>
        </w:rPr>
        <w:t xml:space="preserve"> </w:t>
      </w:r>
      <w:proofErr w:type="spellStart"/>
      <w:r w:rsidRPr="007479DB">
        <w:rPr>
          <w:rFonts w:ascii="Arial" w:eastAsia="Times New Roman" w:hAnsi="Arial" w:cs="Arial"/>
          <w:color w:val="4F5357"/>
          <w:sz w:val="18"/>
          <w:szCs w:val="18"/>
          <w:lang w:val="en-CA" w:eastAsia="cs-CZ"/>
        </w:rPr>
        <w:t>nam</w:t>
      </w:r>
      <w:proofErr w:type="spellEnd"/>
      <w:r w:rsidRPr="007479DB">
        <w:rPr>
          <w:rFonts w:ascii="Arial" w:eastAsia="Times New Roman" w:hAnsi="Arial" w:cs="Arial"/>
          <w:color w:val="4F5357"/>
          <w:sz w:val="18"/>
          <w:szCs w:val="18"/>
          <w:lang w:val="en-CA" w:eastAsia="cs-CZ"/>
        </w:rPr>
        <w:t xml:space="preserve">. 1078/5, 152 00 Prague 5 Czech Republic, emailing </w:t>
      </w:r>
      <w:hyperlink r:id="rId5" w:history="1">
        <w:r w:rsidRPr="007479DB">
          <w:rPr>
            <w:rFonts w:ascii="Arial" w:eastAsia="Times New Roman" w:hAnsi="Arial" w:cs="Arial"/>
            <w:color w:val="FC1C26"/>
            <w:sz w:val="18"/>
            <w:szCs w:val="18"/>
            <w:u w:val="single"/>
            <w:lang w:val="en-CA" w:eastAsia="cs-CZ"/>
          </w:rPr>
          <w:t>investorrelations@cme.net</w:t>
        </w:r>
      </w:hyperlink>
      <w:r w:rsidRPr="007479DB">
        <w:rPr>
          <w:rFonts w:ascii="Arial" w:eastAsia="Times New Roman" w:hAnsi="Arial" w:cs="Arial"/>
          <w:color w:val="4F5357"/>
          <w:sz w:val="18"/>
          <w:szCs w:val="18"/>
          <w:lang w:val="en-CA" w:eastAsia="cs-CZ"/>
        </w:rPr>
        <w:t xml:space="preserve"> or visiting CME’s website at </w:t>
      </w:r>
      <w:hyperlink r:id="rId6" w:history="1">
        <w:r w:rsidRPr="007479DB">
          <w:rPr>
            <w:rFonts w:ascii="Arial" w:eastAsia="Times New Roman" w:hAnsi="Arial" w:cs="Arial"/>
            <w:color w:val="FC1C26"/>
            <w:sz w:val="18"/>
            <w:szCs w:val="18"/>
            <w:u w:val="single"/>
            <w:lang w:val="en-CA" w:eastAsia="cs-CZ"/>
          </w:rPr>
          <w:t>www.cme.net</w:t>
        </w:r>
      </w:hyperlink>
      <w:r w:rsidRPr="007479DB">
        <w:rPr>
          <w:rFonts w:ascii="Arial" w:eastAsia="Times New Roman" w:hAnsi="Arial" w:cs="Arial"/>
          <w:color w:val="4F5357"/>
          <w:sz w:val="18"/>
          <w:szCs w:val="18"/>
          <w:lang w:val="en-CA" w:eastAsia="cs-CZ"/>
        </w:rPr>
        <w:t xml:space="preserve">.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i/>
          <w:iCs/>
          <w:color w:val="4F5357"/>
          <w:sz w:val="18"/>
          <w:szCs w:val="18"/>
          <w:lang w:val="en-CA" w:eastAsia="cs-CZ"/>
        </w:rPr>
        <w:t>Participants in Solicitation</w:t>
      </w:r>
      <w:r w:rsidRPr="007479DB">
        <w:rPr>
          <w:rFonts w:ascii="Arial" w:eastAsia="Times New Roman" w:hAnsi="Arial" w:cs="Arial"/>
          <w:color w:val="4F5357"/>
          <w:sz w:val="18"/>
          <w:szCs w:val="18"/>
          <w:lang w:val="en-CA" w:eastAsia="cs-CZ"/>
        </w:rPr>
        <w:t xml:space="preserve"> </w:t>
      </w:r>
    </w:p>
    <w:p w:rsidR="007479DB" w:rsidRPr="007479DB" w:rsidRDefault="007479DB" w:rsidP="007479DB">
      <w:pPr>
        <w:spacing w:before="150" w:after="150" w:line="300" w:lineRule="atLeast"/>
        <w:rPr>
          <w:rFonts w:ascii="Arial" w:eastAsia="Times New Roman" w:hAnsi="Arial" w:cs="Arial"/>
          <w:color w:val="4F5357"/>
          <w:sz w:val="18"/>
          <w:szCs w:val="18"/>
          <w:lang w:val="en-CA" w:eastAsia="cs-CZ"/>
        </w:rPr>
      </w:pPr>
      <w:r w:rsidRPr="007479DB">
        <w:rPr>
          <w:rFonts w:ascii="Arial" w:eastAsia="Times New Roman" w:hAnsi="Arial" w:cs="Arial"/>
          <w:color w:val="4F5357"/>
          <w:sz w:val="18"/>
          <w:szCs w:val="18"/>
          <w:lang w:val="en-CA" w:eastAsia="cs-CZ"/>
        </w:rPr>
        <w:t xml:space="preserve">The Company and its directors and officers may be deemed participants in the solicitation of proxies to the Company’s shareholders with respect to the transaction. A list of the names of those directors and officers and a description of their interests in the Company is set forth in the proxy statement for CME’s 2019 Annual Meeting of Stockholders, which was filed with the SEC on April 9, 2019. Other information regarding the participants in the proxy solicitation and a description of their direct and indirect interests, by security holdings or otherwise, will be contained in the proxy statement and other relevant materials to be filed with the SEC regarding the transaction when they become available. Investors and shareholders should read the proxy statement carefully when it becomes available before making any investment or voting decisions. </w:t>
      </w:r>
    </w:p>
    <w:p w:rsidR="007479DB" w:rsidRDefault="007479DB"/>
    <w:sectPr w:rsidR="007479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9DB"/>
    <w:rsid w:val="007479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A87E5"/>
  <w15:chartTrackingRefBased/>
  <w15:docId w15:val="{5A8CB11B-BAF8-442C-9D14-A1F3AB0A7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7479DB"/>
    <w:pPr>
      <w:spacing w:after="300" w:line="300" w:lineRule="atLeast"/>
      <w:outlineLvl w:val="0"/>
    </w:pPr>
    <w:rPr>
      <w:rFonts w:ascii="Times New Roman" w:eastAsia="Times New Roman" w:hAnsi="Times New Roman" w:cs="Times New Roman"/>
      <w:b/>
      <w:bCs/>
      <w:color w:val="150988"/>
      <w:kern w:val="36"/>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479DB"/>
    <w:rPr>
      <w:rFonts w:ascii="Times New Roman" w:eastAsia="Times New Roman" w:hAnsi="Times New Roman" w:cs="Times New Roman"/>
      <w:b/>
      <w:bCs/>
      <w:color w:val="150988"/>
      <w:kern w:val="36"/>
      <w:sz w:val="27"/>
      <w:szCs w:val="27"/>
      <w:lang w:eastAsia="cs-CZ"/>
    </w:rPr>
  </w:style>
  <w:style w:type="character" w:styleId="Hypertextovodkaz">
    <w:name w:val="Hyperlink"/>
    <w:basedOn w:val="Standardnpsmoodstavce"/>
    <w:uiPriority w:val="99"/>
    <w:semiHidden/>
    <w:unhideWhenUsed/>
    <w:rsid w:val="007479DB"/>
    <w:rPr>
      <w:color w:val="FC1C26"/>
      <w:u w:val="single"/>
    </w:rPr>
  </w:style>
  <w:style w:type="paragraph" w:styleId="Normlnweb">
    <w:name w:val="Normal (Web)"/>
    <w:basedOn w:val="Normln"/>
    <w:uiPriority w:val="99"/>
    <w:semiHidden/>
    <w:unhideWhenUsed/>
    <w:rsid w:val="007479DB"/>
    <w:pPr>
      <w:spacing w:before="150" w:after="150" w:line="240" w:lineRule="auto"/>
    </w:pPr>
    <w:rPr>
      <w:rFonts w:ascii="Times New Roman" w:eastAsia="Times New Roman" w:hAnsi="Times New Roman" w:cs="Times New Roman"/>
      <w:sz w:val="24"/>
      <w:szCs w:val="24"/>
      <w:lang w:eastAsia="cs-CZ"/>
    </w:rPr>
  </w:style>
  <w:style w:type="character" w:customStyle="1" w:styleId="moduledownloadtext">
    <w:name w:val="moduledownloadtext"/>
    <w:basedOn w:val="Standardnpsmoodstavce"/>
    <w:rsid w:val="007479DB"/>
  </w:style>
  <w:style w:type="character" w:customStyle="1" w:styleId="moduletitletext">
    <w:name w:val="moduletitletext"/>
    <w:basedOn w:val="Standardnpsmoodstavce"/>
    <w:rsid w:val="007479DB"/>
  </w:style>
  <w:style w:type="character" w:customStyle="1" w:styleId="moduledate4">
    <w:name w:val="moduledate4"/>
    <w:basedOn w:val="Standardnpsmoodstavce"/>
    <w:rsid w:val="007479DB"/>
  </w:style>
  <w:style w:type="character" w:customStyle="1" w:styleId="modulefilespacer">
    <w:name w:val="modulefilespacer"/>
    <w:basedOn w:val="Standardnpsmoodstavce"/>
    <w:rsid w:val="007479DB"/>
  </w:style>
  <w:style w:type="character" w:customStyle="1" w:styleId="modulefiletext">
    <w:name w:val="modulefiletext"/>
    <w:basedOn w:val="Standardnpsmoodstavce"/>
    <w:rsid w:val="007479DB"/>
  </w:style>
  <w:style w:type="paragraph" w:customStyle="1" w:styleId="bwalignc1">
    <w:name w:val="bwalignc1"/>
    <w:basedOn w:val="Normln"/>
    <w:rsid w:val="007479DB"/>
    <w:pPr>
      <w:spacing w:before="150" w:after="150" w:line="240" w:lineRule="auto"/>
      <w:jc w:val="center"/>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476630">
      <w:bodyDiv w:val="1"/>
      <w:marLeft w:val="0"/>
      <w:marRight w:val="0"/>
      <w:marTop w:val="0"/>
      <w:marBottom w:val="0"/>
      <w:divBdr>
        <w:top w:val="none" w:sz="0" w:space="0" w:color="auto"/>
        <w:left w:val="none" w:sz="0" w:space="0" w:color="auto"/>
        <w:bottom w:val="none" w:sz="0" w:space="0" w:color="auto"/>
        <w:right w:val="none" w:sz="0" w:space="0" w:color="auto"/>
      </w:divBdr>
      <w:divsChild>
        <w:div w:id="1446148032">
          <w:marLeft w:val="0"/>
          <w:marRight w:val="0"/>
          <w:marTop w:val="0"/>
          <w:marBottom w:val="0"/>
          <w:divBdr>
            <w:top w:val="none" w:sz="0" w:space="0" w:color="auto"/>
            <w:left w:val="none" w:sz="0" w:space="0" w:color="auto"/>
            <w:bottom w:val="none" w:sz="0" w:space="0" w:color="auto"/>
            <w:right w:val="none" w:sz="0" w:space="0" w:color="auto"/>
          </w:divBdr>
          <w:divsChild>
            <w:div w:id="442917327">
              <w:marLeft w:val="0"/>
              <w:marRight w:val="0"/>
              <w:marTop w:val="0"/>
              <w:marBottom w:val="0"/>
              <w:divBdr>
                <w:top w:val="none" w:sz="0" w:space="0" w:color="auto"/>
                <w:left w:val="none" w:sz="0" w:space="0" w:color="auto"/>
                <w:bottom w:val="none" w:sz="0" w:space="0" w:color="auto"/>
                <w:right w:val="none" w:sz="0" w:space="0" w:color="auto"/>
              </w:divBdr>
              <w:divsChild>
                <w:div w:id="1585919310">
                  <w:marLeft w:val="0"/>
                  <w:marRight w:val="0"/>
                  <w:marTop w:val="0"/>
                  <w:marBottom w:val="0"/>
                  <w:divBdr>
                    <w:top w:val="none" w:sz="0" w:space="0" w:color="auto"/>
                    <w:left w:val="none" w:sz="0" w:space="0" w:color="auto"/>
                    <w:bottom w:val="none" w:sz="0" w:space="0" w:color="auto"/>
                    <w:right w:val="none" w:sz="0" w:space="0" w:color="auto"/>
                  </w:divBdr>
                  <w:divsChild>
                    <w:div w:id="1401250025">
                      <w:marLeft w:val="0"/>
                      <w:marRight w:val="0"/>
                      <w:marTop w:val="0"/>
                      <w:marBottom w:val="0"/>
                      <w:divBdr>
                        <w:top w:val="none" w:sz="0" w:space="0" w:color="auto"/>
                        <w:left w:val="none" w:sz="0" w:space="0" w:color="auto"/>
                        <w:bottom w:val="none" w:sz="0" w:space="0" w:color="auto"/>
                        <w:right w:val="none" w:sz="0" w:space="0" w:color="auto"/>
                      </w:divBdr>
                      <w:divsChild>
                        <w:div w:id="824012359">
                          <w:marLeft w:val="0"/>
                          <w:marRight w:val="0"/>
                          <w:marTop w:val="0"/>
                          <w:marBottom w:val="0"/>
                          <w:divBdr>
                            <w:top w:val="none" w:sz="0" w:space="0" w:color="auto"/>
                            <w:left w:val="none" w:sz="0" w:space="0" w:color="auto"/>
                            <w:bottom w:val="none" w:sz="0" w:space="0" w:color="auto"/>
                            <w:right w:val="none" w:sz="0" w:space="0" w:color="auto"/>
                          </w:divBdr>
                          <w:divsChild>
                            <w:div w:id="191498585">
                              <w:marLeft w:val="0"/>
                              <w:marRight w:val="0"/>
                              <w:marTop w:val="0"/>
                              <w:marBottom w:val="0"/>
                              <w:divBdr>
                                <w:top w:val="none" w:sz="0" w:space="0" w:color="auto"/>
                                <w:left w:val="none" w:sz="0" w:space="0" w:color="auto"/>
                                <w:bottom w:val="none" w:sz="0" w:space="0" w:color="auto"/>
                                <w:right w:val="none" w:sz="0" w:space="0" w:color="auto"/>
                              </w:divBdr>
                              <w:divsChild>
                                <w:div w:id="414976218">
                                  <w:marLeft w:val="0"/>
                                  <w:marRight w:val="0"/>
                                  <w:marTop w:val="0"/>
                                  <w:marBottom w:val="0"/>
                                  <w:divBdr>
                                    <w:top w:val="none" w:sz="0" w:space="0" w:color="auto"/>
                                    <w:left w:val="none" w:sz="0" w:space="0" w:color="auto"/>
                                    <w:bottom w:val="none" w:sz="0" w:space="0" w:color="auto"/>
                                    <w:right w:val="none" w:sz="0" w:space="0" w:color="auto"/>
                                  </w:divBdr>
                                  <w:divsChild>
                                    <w:div w:id="318271593">
                                      <w:marLeft w:val="0"/>
                                      <w:marRight w:val="0"/>
                                      <w:marTop w:val="0"/>
                                      <w:marBottom w:val="0"/>
                                      <w:divBdr>
                                        <w:top w:val="none" w:sz="0" w:space="0" w:color="auto"/>
                                        <w:left w:val="none" w:sz="0" w:space="0" w:color="auto"/>
                                        <w:bottom w:val="none" w:sz="0" w:space="0" w:color="auto"/>
                                        <w:right w:val="none" w:sz="0" w:space="0" w:color="auto"/>
                                      </w:divBdr>
                                      <w:divsChild>
                                        <w:div w:id="175777989">
                                          <w:marLeft w:val="0"/>
                                          <w:marRight w:val="0"/>
                                          <w:marTop w:val="0"/>
                                          <w:marBottom w:val="0"/>
                                          <w:divBdr>
                                            <w:top w:val="none" w:sz="0" w:space="0" w:color="auto"/>
                                            <w:left w:val="none" w:sz="0" w:space="0" w:color="auto"/>
                                            <w:bottom w:val="none" w:sz="0" w:space="0" w:color="auto"/>
                                            <w:right w:val="none" w:sz="0" w:space="0" w:color="auto"/>
                                          </w:divBdr>
                                          <w:divsChild>
                                            <w:div w:id="1226794179">
                                              <w:marLeft w:val="0"/>
                                              <w:marRight w:val="0"/>
                                              <w:marTop w:val="0"/>
                                              <w:marBottom w:val="0"/>
                                              <w:divBdr>
                                                <w:top w:val="none" w:sz="0" w:space="0" w:color="auto"/>
                                                <w:left w:val="none" w:sz="0" w:space="0" w:color="auto"/>
                                                <w:bottom w:val="none" w:sz="0" w:space="0" w:color="auto"/>
                                                <w:right w:val="none" w:sz="0" w:space="0" w:color="auto"/>
                                              </w:divBdr>
                                            </w:div>
                                            <w:div w:id="922643860">
                                              <w:marLeft w:val="0"/>
                                              <w:marRight w:val="0"/>
                                              <w:marTop w:val="0"/>
                                              <w:marBottom w:val="0"/>
                                              <w:divBdr>
                                                <w:top w:val="none" w:sz="0" w:space="0" w:color="auto"/>
                                                <w:left w:val="none" w:sz="0" w:space="0" w:color="auto"/>
                                                <w:bottom w:val="none" w:sz="0" w:space="0" w:color="auto"/>
                                                <w:right w:val="none" w:sz="0" w:space="0" w:color="auto"/>
                                              </w:divBdr>
                                            </w:div>
                                            <w:div w:id="15823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ts.businesswire.com/ct/CT?id=smartlink&amp;url=http%3A%2F%2Fwww.cme.net&amp;esheet=52118256&amp;newsitemid=20191027005041&amp;lan=en-US&amp;anchor=www.cme.net&amp;index=2&amp;md5=12942171ac3457d7b31d1ea45acf27cd" TargetMode="External"/><Relationship Id="rId5" Type="http://schemas.openxmlformats.org/officeDocument/2006/relationships/hyperlink" Target="mailto:investorrelations@cme.net" TargetMode="External"/><Relationship Id="rId4" Type="http://schemas.openxmlformats.org/officeDocument/2006/relationships/hyperlink" Target="https://cts.businesswire.com/ct/CT?id=smartlink&amp;url=http%3A%2F%2Fwww.sec.gov&amp;esheet=52118256&amp;newsitemid=20191027005041&amp;lan=en-US&amp;anchor=www.sec.gov&amp;index=1&amp;md5=e09bdef3aa0877f2474d7c602b52c4a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1030</Words>
  <Characters>6080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Vojtěchovská</dc:creator>
  <cp:keywords/>
  <dc:description/>
  <cp:lastModifiedBy>Martina Vojtěchovská</cp:lastModifiedBy>
  <cp:revision>1</cp:revision>
  <dcterms:created xsi:type="dcterms:W3CDTF">2019-10-28T21:45:00Z</dcterms:created>
  <dcterms:modified xsi:type="dcterms:W3CDTF">2019-10-28T21:46:00Z</dcterms:modified>
</cp:coreProperties>
</file>