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C71" w:rsidRDefault="00822CAA" w:rsidP="00822CAA">
      <w:pPr>
        <w:pStyle w:val="Nzev"/>
      </w:pPr>
      <w:r>
        <w:t>Stanovisko k zákazu konání akcí nad 100 osob</w:t>
      </w:r>
    </w:p>
    <w:p w:rsidR="00532A37" w:rsidRDefault="006774FE" w:rsidP="00F21000">
      <w:r w:rsidRPr="00A30B38">
        <w:rPr>
          <w:b/>
        </w:rPr>
        <w:t>Autor:</w:t>
      </w:r>
      <w:r>
        <w:t xml:space="preserve"> </w:t>
      </w:r>
      <w:hyperlink r:id="rId8" w:history="1">
        <w:r w:rsidRPr="00A30B38">
          <w:rPr>
            <w:rStyle w:val="Hypertextovodkaz"/>
          </w:rPr>
          <w:t>Tomáš Pauch</w:t>
        </w:r>
      </w:hyperlink>
      <w:r>
        <w:t xml:space="preserve">, advokát a CEO </w:t>
      </w:r>
      <w:hyperlink r:id="rId9" w:history="1">
        <w:r w:rsidRPr="00A30B38">
          <w:rPr>
            <w:rStyle w:val="Hypertextovodkaz"/>
          </w:rPr>
          <w:t>eLegal advok</w:t>
        </w:r>
        <w:r w:rsidR="00532A37" w:rsidRPr="00A30B38">
          <w:rPr>
            <w:rStyle w:val="Hypertextovodkaz"/>
          </w:rPr>
          <w:t>átní kancelář</w:t>
        </w:r>
      </w:hyperlink>
      <w:r w:rsidR="00532A37">
        <w:t xml:space="preserve"> </w:t>
      </w:r>
    </w:p>
    <w:p w:rsidR="006774FE" w:rsidRDefault="006774FE" w:rsidP="005A2D93"/>
    <w:p w:rsidR="005A2D93" w:rsidRDefault="005A2D93" w:rsidP="005A2D93">
      <w:r>
        <w:t>Ministerstvo zdravotnictví ČR dnes</w:t>
      </w:r>
      <w:r w:rsidR="00E60F75">
        <w:t xml:space="preserve"> přijalo</w:t>
      </w:r>
      <w:r>
        <w:t xml:space="preserve"> mimořádné opatření, podle kterého se od úterý 10. 3. 2020 od 18:00 hodin ruší veškerá kulturní představení, sportovní i náboženské akce, trhy, veletrhy, a to veřejné i soukromé pro sto a více osob.</w:t>
      </w:r>
    </w:p>
    <w:p w:rsidR="006774FE" w:rsidRDefault="006774FE" w:rsidP="005A2D93"/>
    <w:p w:rsidR="005A2D93" w:rsidRDefault="006774FE" w:rsidP="006774FE">
      <w:pPr>
        <w:pStyle w:val="Nadpis1"/>
      </w:pPr>
      <w:r>
        <w:t>Jaké akce se ruší?</w:t>
      </w:r>
    </w:p>
    <w:p w:rsidR="005A2D93" w:rsidRDefault="005A2D93" w:rsidP="005A2D93">
      <w:r>
        <w:t>U koncertů, divadelních představení nebo plesů je jasné, že se jich zákaz týká, otázky mohou nastat u pořadatelů některých sportovních utkání, soukromých firemních akcí a večírků nebo akcí, na jejichž seznamu hostů je „jen“ 90 lidí.</w:t>
      </w:r>
    </w:p>
    <w:p w:rsidR="006774FE" w:rsidRDefault="006774FE" w:rsidP="005A2D93"/>
    <w:p w:rsidR="005A2D93" w:rsidRDefault="005A2D93" w:rsidP="005A2D93">
      <w:r>
        <w:t xml:space="preserve">Mimořádné opatření sice výslovně mluví o “zákazu” akcí, je ale důležité myslet na to, že konání akce je zakázáno </w:t>
      </w:r>
      <w:r w:rsidRPr="00E60F75">
        <w:rPr>
          <w:b/>
        </w:rPr>
        <w:t>pouze po dobu trvání tohoto opatření</w:t>
      </w:r>
      <w:r>
        <w:t xml:space="preserve">. </w:t>
      </w:r>
      <w:r w:rsidR="00A30B38">
        <w:t xml:space="preserve">Neznamená </w:t>
      </w:r>
      <w:r>
        <w:t xml:space="preserve">to, že se akce automaticky ruší a už se nikdy neuskuteční. Je důležité si interně rozhodnout o tom, zda je možné danou akci </w:t>
      </w:r>
      <w:r w:rsidRPr="00E60F75">
        <w:rPr>
          <w:b/>
        </w:rPr>
        <w:t>uskutečnit v náhradním termínu</w:t>
      </w:r>
      <w:r w:rsidR="006774FE" w:rsidRPr="00E60F75">
        <w:rPr>
          <w:b/>
        </w:rPr>
        <w:t>,</w:t>
      </w:r>
      <w:r w:rsidRPr="00E60F75">
        <w:rPr>
          <w:b/>
        </w:rPr>
        <w:t xml:space="preserve"> nebo ne</w:t>
      </w:r>
      <w:r>
        <w:t xml:space="preserve">. </w:t>
      </w:r>
    </w:p>
    <w:p w:rsidR="006774FE" w:rsidRDefault="006774FE" w:rsidP="005A2D93"/>
    <w:p w:rsidR="006774FE" w:rsidRDefault="00A30B38" w:rsidP="005A2D93">
      <w:pPr>
        <w:rPr>
          <w:color w:val="000000"/>
        </w:rPr>
      </w:pPr>
      <w:r>
        <w:rPr>
          <w:color w:val="000000"/>
        </w:rPr>
        <w:t>Například konferenci o nových trendech v marketingu je určitě možné (i když zřejmě velmi obtížné) posunout z března na září, zatímco třeba veletrh cestovních kanceláří zaměřený na letní dovolené už podobně odložit nejde, protože v září už o něj nikdo nebude mít zájem. Pozor, pokud je přesunutí termínu “pouze” komplikované</w:t>
      </w:r>
      <w:r w:rsidR="00E60F75">
        <w:rPr>
          <w:color w:val="000000"/>
        </w:rPr>
        <w:t>,</w:t>
      </w:r>
      <w:r>
        <w:rPr>
          <w:color w:val="000000"/>
        </w:rPr>
        <w:t xml:space="preserve"> například z důvodu velké finanční zátěže nebo jiných obtíží, je </w:t>
      </w:r>
      <w:r w:rsidRPr="00E60F75">
        <w:rPr>
          <w:b/>
          <w:color w:val="000000"/>
        </w:rPr>
        <w:t>podle zákona stále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možné</w:t>
      </w:r>
      <w:r>
        <w:rPr>
          <w:color w:val="000000"/>
        </w:rPr>
        <w:t>. Možnost nebo nemožnost posunutí tedy nelze z právního pohledu posuzovat pouze s ohledem na případné finanční ztráty.</w:t>
      </w:r>
    </w:p>
    <w:p w:rsidR="00A30B38" w:rsidRDefault="00A30B38" w:rsidP="005A2D93"/>
    <w:p w:rsidR="005A2D93" w:rsidRDefault="005A2D93" w:rsidP="005A2D93">
      <w:r>
        <w:t xml:space="preserve">To je důležité si ujasnit i kvůli dalšímu právnímu posouzení, co a v jaké výši se musí smluvním stranám vracet a na co naopak </w:t>
      </w:r>
      <w:r w:rsidR="00A30B38">
        <w:t>má nárok</w:t>
      </w:r>
      <w:r>
        <w:t xml:space="preserve"> pořadatel akce.</w:t>
      </w:r>
    </w:p>
    <w:p w:rsidR="006774FE" w:rsidRDefault="006774FE" w:rsidP="005A2D93"/>
    <w:p w:rsidR="005A2D93" w:rsidRDefault="005A2D93" w:rsidP="006774FE">
      <w:pPr>
        <w:pStyle w:val="Nadpis1"/>
      </w:pPr>
      <w:r>
        <w:t>Jaké typy akcí podléhají zákazu?</w:t>
      </w:r>
    </w:p>
    <w:p w:rsidR="005A2D93" w:rsidRPr="006774FE" w:rsidRDefault="005A2D93" w:rsidP="005A2D93">
      <w:pPr>
        <w:rPr>
          <w:b/>
        </w:rPr>
      </w:pPr>
      <w:r w:rsidRPr="006774FE">
        <w:rPr>
          <w:b/>
        </w:rPr>
        <w:t>Firemní akce a eventy</w:t>
      </w:r>
    </w:p>
    <w:p w:rsidR="005A2D93" w:rsidRDefault="005A2D93" w:rsidP="005A2D93">
      <w:r>
        <w:t>Firemní akce, konference, večírky pro klienty nebo networkingové eventy pro předem daný seznam hostů podléhají zákazu, pokud se jich má zúčastnit více než sto lidí.</w:t>
      </w:r>
    </w:p>
    <w:p w:rsidR="006774FE" w:rsidRDefault="006774FE" w:rsidP="005A2D93"/>
    <w:p w:rsidR="005A2D93" w:rsidRPr="006774FE" w:rsidRDefault="005A2D93" w:rsidP="005A2D93">
      <w:pPr>
        <w:rPr>
          <w:b/>
        </w:rPr>
      </w:pPr>
      <w:r w:rsidRPr="006774FE">
        <w:rPr>
          <w:b/>
        </w:rPr>
        <w:t>Sportovní utkání, amatérské závody</w:t>
      </w:r>
    </w:p>
    <w:p w:rsidR="005A2D93" w:rsidRDefault="005A2D93" w:rsidP="005A2D93">
      <w:r>
        <w:lastRenderedPageBreak/>
        <w:t>V případě, že pořádáte utkání v profesionálních či poloprofesionálních soutěžích, je podle předsedy vlády na vašem rozhodnutí, zda akci uskutečníte bez diváků</w:t>
      </w:r>
      <w:r w:rsidR="00E60F75">
        <w:t>,</w:t>
      </w:r>
      <w:r>
        <w:t xml:space="preserve"> nebo nikoliv.</w:t>
      </w:r>
    </w:p>
    <w:p w:rsidR="00E60F75" w:rsidRDefault="00E60F75" w:rsidP="005A2D93"/>
    <w:p w:rsidR="005A2D93" w:rsidRDefault="005A2D93" w:rsidP="005A2D93">
      <w:r>
        <w:t>Pokud jste ale organizátorem akcí pro amatéry a nadšené sportovce, třeba běžecké závody, zákaz se na vás vztahuje.</w:t>
      </w:r>
    </w:p>
    <w:p w:rsidR="00E60F75" w:rsidRDefault="00E60F75" w:rsidP="00E60F75">
      <w:pPr>
        <w:pStyle w:val="Normlnweb"/>
        <w:spacing w:before="240" w:beforeAutospacing="0" w:after="24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60F75" w:rsidRDefault="00E60F75" w:rsidP="00E60F75">
      <w:pPr>
        <w:pStyle w:val="Normlnweb"/>
        <w:spacing w:before="240" w:beforeAutospacing="0" w:after="24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Kulturní akce</w:t>
      </w:r>
    </w:p>
    <w:p w:rsidR="00E60F75" w:rsidRDefault="00E60F75" w:rsidP="00E60F75">
      <w:pPr>
        <w:pStyle w:val="Normln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Kina, divadla a jiná kulturní setkání pro více než 100 lidí. </w:t>
      </w:r>
    </w:p>
    <w:p w:rsidR="00E60F75" w:rsidRDefault="00E60F75" w:rsidP="005A2D93"/>
    <w:p w:rsidR="006774FE" w:rsidRDefault="006774FE" w:rsidP="005A2D93"/>
    <w:p w:rsidR="005A2D93" w:rsidRPr="006774FE" w:rsidRDefault="005A2D93" w:rsidP="006774FE">
      <w:pPr>
        <w:rPr>
          <w:b/>
        </w:rPr>
      </w:pPr>
      <w:r w:rsidRPr="006774FE">
        <w:rPr>
          <w:b/>
        </w:rPr>
        <w:t>Na naši akci má přijít 90 lidí. Je pravda, že se na ni zákaz nevztahuje?</w:t>
      </w:r>
    </w:p>
    <w:p w:rsidR="005A2D93" w:rsidRDefault="005A2D93" w:rsidP="005A2D93">
      <w:r>
        <w:t>Pravda to sice je, ale doporučujeme být opatrní. I když mimořádné opatření zakazuje akce nad 100 osob, je otázkou, zda počet 90 lidí na akci dokážete určitě splnit. Kromě počtu jmen na seznamu hostů je totiž nutné počítat i s osobami zajišťujícími catering nebo ochranu dané akce.</w:t>
      </w:r>
    </w:p>
    <w:p w:rsidR="00A30B38" w:rsidRDefault="00A30B38" w:rsidP="005A2D93"/>
    <w:p w:rsidR="00A30B38" w:rsidRDefault="00A30B38" w:rsidP="005A2D93">
      <w:r>
        <w:rPr>
          <w:color w:val="000000"/>
        </w:rPr>
        <w:t>Pokud by organizátor počítal pouze s 90 osobami, ale nakonec se jich na akci sešlo 101, je pak nutné prokázat, že oprávněně předpokládal, že přítomných bude méně než 100. Z opatrnosti ale doporučujeme aktuální počty osob hlídat a nadbytečné lidi raději na akci nepustit.</w:t>
      </w:r>
    </w:p>
    <w:p w:rsidR="006774FE" w:rsidRDefault="006774FE" w:rsidP="005A2D93"/>
    <w:p w:rsidR="005A2D93" w:rsidRDefault="00A30B38" w:rsidP="006774FE">
      <w:pPr>
        <w:pStyle w:val="Nadpis1"/>
      </w:pPr>
      <w:r>
        <w:t>Jste organizátor: Jak máte</w:t>
      </w:r>
      <w:r w:rsidR="005A2D93">
        <w:t xml:space="preserve"> postupovat?</w:t>
      </w:r>
    </w:p>
    <w:p w:rsidR="005A2D93" w:rsidRDefault="005A2D93" w:rsidP="005A2D93">
      <w:r>
        <w:t xml:space="preserve">V případě, že se na vás zákaz vztahuje, jedná se o zrušení události z </w:t>
      </w:r>
      <w:r w:rsidRPr="00E60F75">
        <w:rPr>
          <w:b/>
        </w:rPr>
        <w:t>důvodů tzv. vyšší moci</w:t>
      </w:r>
      <w:r>
        <w:t xml:space="preserve">. Škoda při zrušení akce pak může vzniknout všem zúčastněným – pořadatelům, cateringové společnosti nebo třeba eventovému prostoru. </w:t>
      </w:r>
    </w:p>
    <w:p w:rsidR="006774FE" w:rsidRDefault="006774FE" w:rsidP="005A2D93"/>
    <w:p w:rsidR="005A2D93" w:rsidRPr="006774FE" w:rsidRDefault="005A2D93" w:rsidP="005A2D93">
      <w:pPr>
        <w:rPr>
          <w:b/>
        </w:rPr>
      </w:pPr>
      <w:r w:rsidRPr="006774FE">
        <w:rPr>
          <w:b/>
        </w:rPr>
        <w:t>Nejprve všechny informujte</w:t>
      </w:r>
    </w:p>
    <w:p w:rsidR="005A2D93" w:rsidRDefault="005A2D93" w:rsidP="005A2D93">
      <w:r>
        <w:t xml:space="preserve">I když by se mohlo zdát, že o daném opatření a rušení akcí již všichni ví z médií, je i tak důležité o tom své </w:t>
      </w:r>
      <w:r w:rsidRPr="00E60F75">
        <w:rPr>
          <w:b/>
        </w:rPr>
        <w:t>klienty, zákazníky i dodavatele</w:t>
      </w:r>
      <w:r>
        <w:t xml:space="preserve"> informovat.</w:t>
      </w:r>
    </w:p>
    <w:p w:rsidR="00A30B38" w:rsidRDefault="00A30B38" w:rsidP="005A2D93"/>
    <w:p w:rsidR="005A2D93" w:rsidRDefault="005A2D93" w:rsidP="005A2D93">
      <w:r>
        <w:t xml:space="preserve">Pokud byste svým sponzorům, obchodním partnerům, dodavatelům nebo účastníkům akce oficiálně neoznámili, že se daná akce ruší a proč tomu tak je, je možné, že byste jim museli </w:t>
      </w:r>
      <w:r w:rsidRPr="00E60F75">
        <w:rPr>
          <w:b/>
        </w:rPr>
        <w:t>škodu nahradit nebo jim vrátit to, co vám už poskytli</w:t>
      </w:r>
      <w:r>
        <w:t xml:space="preserve"> i přesto, že byste podle ustanovení o vyšší moci, které máte ve smlouvě, jinak nemuseli.</w:t>
      </w:r>
    </w:p>
    <w:p w:rsidR="00A30B38" w:rsidRDefault="00A30B38" w:rsidP="005A2D93"/>
    <w:p w:rsidR="005A2D93" w:rsidRDefault="005A2D93" w:rsidP="005A2D93">
      <w:r>
        <w:lastRenderedPageBreak/>
        <w:t xml:space="preserve">Současně byste měli v daném prohlášení informovat o tom, zda se akce ruší bez náhrady (protože později už uskutečnit objektivně nejde), nebo jestli v budoucnu stanovíte </w:t>
      </w:r>
      <w:r w:rsidRPr="00E60F75">
        <w:rPr>
          <w:b/>
        </w:rPr>
        <w:t>náhradní termín akce</w:t>
      </w:r>
      <w:r>
        <w:t xml:space="preserve">. </w:t>
      </w:r>
    </w:p>
    <w:p w:rsidR="006774FE" w:rsidRDefault="006774FE" w:rsidP="005A2D93"/>
    <w:p w:rsidR="005A2D93" w:rsidRPr="006774FE" w:rsidRDefault="005A2D93" w:rsidP="005A2D93">
      <w:pPr>
        <w:rPr>
          <w:b/>
        </w:rPr>
      </w:pPr>
      <w:r w:rsidRPr="006774FE">
        <w:rPr>
          <w:b/>
        </w:rPr>
        <w:t>Prostudujte smlouvy</w:t>
      </w:r>
    </w:p>
    <w:p w:rsidR="005A2D93" w:rsidRDefault="005A2D93" w:rsidP="005A2D93">
      <w:r>
        <w:t>Podívejte se do smluv, které jste ohledně akce uzavřeli. Jedná s</w:t>
      </w:r>
      <w:bookmarkStart w:id="0" w:name="_GoBack"/>
      <w:bookmarkEnd w:id="0"/>
      <w:r>
        <w:t>e třeba o nájemní smlouvy na daný prostor, o zajištění dodávek služeb anebo i o obchodní podmínky, které se vztahují na prodej a vracení vstupného.</w:t>
      </w:r>
    </w:p>
    <w:p w:rsidR="00A30B38" w:rsidRDefault="00A30B38" w:rsidP="005A2D93"/>
    <w:p w:rsidR="005A2D93" w:rsidRDefault="005A2D93" w:rsidP="005A2D93">
      <w:r>
        <w:t>V daném dokumentu pak hledejte ustanovení, které se týká vyšší moci. V tom najdete, co si strany musí nahradit a co naopak ne.</w:t>
      </w:r>
      <w:r w:rsidR="00E60F75">
        <w:t xml:space="preserve"> </w:t>
      </w:r>
    </w:p>
    <w:p w:rsidR="005A2D93" w:rsidRDefault="005A2D93" w:rsidP="005A2D93"/>
    <w:p w:rsidR="005A2D93" w:rsidRPr="006774FE" w:rsidRDefault="005A2D93" w:rsidP="005A2D93">
      <w:pPr>
        <w:rPr>
          <w:b/>
        </w:rPr>
      </w:pPr>
      <w:r w:rsidRPr="006774FE">
        <w:rPr>
          <w:b/>
        </w:rPr>
        <w:t xml:space="preserve">Smlouvy mlčí? </w:t>
      </w:r>
    </w:p>
    <w:p w:rsidR="005A2D93" w:rsidRDefault="005A2D93" w:rsidP="005A2D93">
      <w:r>
        <w:t xml:space="preserve">I naše zákony samozřejmě obsahují ustanovení, jak situaci řešit. Vždycky ale bude záležet na tom, o jakou akci mělo jít a hlavně, jestli je možné ji uskutečnit později. Některé fixní závazky bude možné zrušit bez sankcí, jiné smlouvy budou obtížněji vypověditelné. </w:t>
      </w:r>
      <w:r w:rsidR="006774FE">
        <w:t>Tuto situaci je nejrozumnější konzultovat přímo s právníkem.</w:t>
      </w:r>
    </w:p>
    <w:p w:rsidR="005A2D93" w:rsidRDefault="005A2D93" w:rsidP="005A2D93"/>
    <w:p w:rsidR="005A2D93" w:rsidRPr="006774FE" w:rsidRDefault="005A2D93" w:rsidP="005A2D93">
      <w:pPr>
        <w:rPr>
          <w:b/>
        </w:rPr>
      </w:pPr>
      <w:r w:rsidRPr="006774FE">
        <w:rPr>
          <w:b/>
        </w:rPr>
        <w:t>Akci jsme zrušili preventivně, co teď?</w:t>
      </w:r>
    </w:p>
    <w:p w:rsidR="005A2D93" w:rsidRDefault="005A2D93" w:rsidP="005A2D93">
      <w:r>
        <w:t>Pokud se ale na vás zákaz nevztahuje a svou akci jste zrušili pouze z preventivních důvodů, rady uvedené v tomto článku se nedají použít automaticky a na smlouvu nebo pojistné podmínky by se měl určitě podívat váš právník.</w:t>
      </w:r>
    </w:p>
    <w:p w:rsidR="006774FE" w:rsidRDefault="006774FE" w:rsidP="005A2D93"/>
    <w:p w:rsidR="005A2D93" w:rsidRPr="006774FE" w:rsidRDefault="006774FE" w:rsidP="005A2D93">
      <w:pPr>
        <w:rPr>
          <w:b/>
        </w:rPr>
      </w:pPr>
      <w:r>
        <w:rPr>
          <w:b/>
        </w:rPr>
        <w:t xml:space="preserve">Uhradí </w:t>
      </w:r>
      <w:r w:rsidR="005A2D93" w:rsidRPr="006774FE">
        <w:rPr>
          <w:b/>
        </w:rPr>
        <w:t>škodu stát?</w:t>
      </w:r>
    </w:p>
    <w:p w:rsidR="005A2D93" w:rsidRDefault="005A2D93" w:rsidP="005A2D93">
      <w:r>
        <w:t>Stát vám náklady vynaložené na konání akce, která se nyní musí zrušit nebo posunout, bohužel nenahradí. Při vydání mimořádného opatření totiž postupoval v souladu se zákonem a neporušil žádnou svou povinnost.</w:t>
      </w:r>
    </w:p>
    <w:p w:rsidR="00A30B38" w:rsidRDefault="00A30B38" w:rsidP="005A2D93"/>
    <w:p w:rsidR="005A2D93" w:rsidRDefault="005A2D93" w:rsidP="005A2D93">
      <w:r>
        <w:t xml:space="preserve">Už před několika dny ale stát oznámil, že od 1. 4. 2020 bude </w:t>
      </w:r>
      <w:r w:rsidRPr="00E60F75">
        <w:rPr>
          <w:b/>
        </w:rPr>
        <w:t>poskytovat bezúročné půjčky</w:t>
      </w:r>
      <w:r>
        <w:t xml:space="preserve"> podnikatelům, jejichž business byl novým typem </w:t>
      </w:r>
      <w:proofErr w:type="spellStart"/>
      <w:r>
        <w:t>koronaviru</w:t>
      </w:r>
      <w:proofErr w:type="spellEnd"/>
      <w:r>
        <w:t xml:space="preserve"> dotčen. Dá se také uvažovat o vypsání určitých nenárokových dotací.</w:t>
      </w:r>
    </w:p>
    <w:p w:rsidR="005A2D93" w:rsidRDefault="005A2D93" w:rsidP="005A2D93"/>
    <w:p w:rsidR="005A2D93" w:rsidRPr="006774FE" w:rsidRDefault="006774FE" w:rsidP="005A2D93">
      <w:pPr>
        <w:rPr>
          <w:b/>
        </w:rPr>
      </w:pPr>
      <w:r w:rsidRPr="006774FE">
        <w:rPr>
          <w:b/>
        </w:rPr>
        <w:t>Co říkají pojistné smlouvy?</w:t>
      </w:r>
    </w:p>
    <w:p w:rsidR="006774FE" w:rsidRDefault="006774FE" w:rsidP="006774FE">
      <w:r>
        <w:t>V případě, že ze smluv uzavřených s dodavateli vyplývá, že na vrácení již zaplacených prostředků nemáte nárok nebo, že vstupné musíte vrátit v plné výši, ještě není třeba zoufat.</w:t>
      </w:r>
    </w:p>
    <w:p w:rsidR="00E60F75" w:rsidRDefault="00E60F75" w:rsidP="006774FE"/>
    <w:p w:rsidR="006774FE" w:rsidRDefault="006774FE" w:rsidP="006774FE">
      <w:r>
        <w:lastRenderedPageBreak/>
        <w:t>Pokud máte akci pojištěnou, podívejte se do pojistných smluv a podmínek, i v nich pravděpodobně najdete ustanovení týkající se vyšší moci i výši pojistného plnění v případě zrušení akce z takového důvodu.</w:t>
      </w:r>
    </w:p>
    <w:p w:rsidR="006774FE" w:rsidRDefault="006774FE" w:rsidP="006774FE"/>
    <w:p w:rsidR="006774FE" w:rsidRPr="006774FE" w:rsidRDefault="006774FE" w:rsidP="006774FE">
      <w:pPr>
        <w:rPr>
          <w:b/>
        </w:rPr>
      </w:pPr>
      <w:r w:rsidRPr="006774FE">
        <w:rPr>
          <w:b/>
        </w:rPr>
        <w:t>A co když akci stejně us</w:t>
      </w:r>
      <w:r w:rsidR="00A30B38">
        <w:rPr>
          <w:b/>
        </w:rPr>
        <w:t>pořádáte</w:t>
      </w:r>
      <w:r w:rsidRPr="006774FE">
        <w:rPr>
          <w:b/>
        </w:rPr>
        <w:t>?</w:t>
      </w:r>
    </w:p>
    <w:p w:rsidR="00822CAA" w:rsidRDefault="006774FE" w:rsidP="006774FE">
      <w:r>
        <w:t>V případě, že byste akci uspořádali navzdory tomuto mimořádnému opatření, hrozí vám pokuta až do výše 3 000 000 Kč</w:t>
      </w:r>
      <w:r w:rsidR="00A30B38">
        <w:t xml:space="preserve"> </w:t>
      </w:r>
      <w:r w:rsidR="00A30B38">
        <w:rPr>
          <w:color w:val="000000"/>
        </w:rPr>
        <w:t>nebo by vaše konání mohlo být posouzeno jako trestný čin</w:t>
      </w:r>
      <w:r>
        <w:t>.</w:t>
      </w:r>
    </w:p>
    <w:sectPr w:rsidR="00822CAA" w:rsidSect="00BF242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1134" w:left="187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618" w:rsidRDefault="00A33618" w:rsidP="00AE4061">
      <w:pPr>
        <w:spacing w:after="0" w:line="240" w:lineRule="auto"/>
      </w:pPr>
      <w:r>
        <w:separator/>
      </w:r>
    </w:p>
  </w:endnote>
  <w:endnote w:type="continuationSeparator" w:id="0">
    <w:p w:rsidR="00A33618" w:rsidRDefault="00A33618" w:rsidP="00AE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04" w:rsidRDefault="00C63FE3" w:rsidP="00C63F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60F7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8F" w:rsidRDefault="002B339A" w:rsidP="004F448F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0A4B40" wp14:editId="4EF5A12D">
              <wp:simplePos x="0" y="0"/>
              <wp:positionH relativeFrom="page">
                <wp:posOffset>-3199940</wp:posOffset>
              </wp:positionH>
              <wp:positionV relativeFrom="margin">
                <wp:posOffset>5724449</wp:posOffset>
              </wp:positionV>
              <wp:extent cx="7439999" cy="467995"/>
              <wp:effectExtent l="0" t="318" r="8573" b="8572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439999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F91" w:rsidRPr="00822CAA" w:rsidRDefault="00FD1F91" w:rsidP="00FD1F91">
                          <w:pPr>
                            <w:pStyle w:val="Adresa"/>
                            <w:rPr>
                              <w:b/>
                            </w:rPr>
                          </w:pPr>
                          <w:r w:rsidRPr="00822CAA">
                            <w:rPr>
                              <w:b/>
                            </w:rPr>
                            <w:t>eLegal advokátní kancelář s.r.o. | Sokolovská 695/115b | 186 0</w:t>
                          </w:r>
                          <w:r w:rsidR="00822CAA" w:rsidRPr="00822CAA">
                            <w:rPr>
                              <w:b/>
                            </w:rPr>
                            <w:t>0 Praha 8 | IČ 03153398 | www.elegal.cz | info@e</w:t>
                          </w:r>
                          <w:r w:rsidRPr="00822CAA">
                            <w:rPr>
                              <w:b/>
                            </w:rPr>
                            <w:t>legal.cz | +420255785595</w:t>
                          </w:r>
                        </w:p>
                        <w:p w:rsidR="00DB15D6" w:rsidRPr="00822CAA" w:rsidRDefault="00FD1F91" w:rsidP="00FD1F91">
                          <w:pPr>
                            <w:pStyle w:val="Adresa"/>
                          </w:pPr>
                          <w:r w:rsidRPr="00822CAA">
                            <w:rPr>
                              <w:b/>
                            </w:rPr>
                            <w:t>eLegal advokátní kancelář podléhá dozoru České advokátní komory (www.cak.cz, sekce: stavovské předpisy).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A4B4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51.95pt;margin-top:450.75pt;width:585.85pt;height:36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" filled="f" stroked="f">
              <v:textbox inset="0,0,0,0">
                <w:txbxContent>
                  <w:p w:rsidR="00FD1F91" w:rsidRPr="00822CAA" w:rsidRDefault="00FD1F91" w:rsidP="00FD1F91">
                    <w:pPr>
                      <w:pStyle w:val="Adresa"/>
                      <w:rPr>
                        <w:b/>
                      </w:rPr>
                    </w:pPr>
                    <w:r w:rsidRPr="00822CAA">
                      <w:rPr>
                        <w:b/>
                      </w:rPr>
                      <w:t>eLegal advokátní kancelář s.r.o. | Sokolovská 695/115b | 186 0</w:t>
                    </w:r>
                    <w:r w:rsidR="00822CAA" w:rsidRPr="00822CAA">
                      <w:rPr>
                        <w:b/>
                      </w:rPr>
                      <w:t>0 Praha 8 | IČ 03153398 | www.elegal.cz | info@e</w:t>
                    </w:r>
                    <w:r w:rsidRPr="00822CAA">
                      <w:rPr>
                        <w:b/>
                      </w:rPr>
                      <w:t>legal.cz | +420255785595</w:t>
                    </w:r>
                  </w:p>
                  <w:p w:rsidR="00DB15D6" w:rsidRPr="00822CAA" w:rsidRDefault="00FD1F91" w:rsidP="00FD1F91">
                    <w:pPr>
                      <w:pStyle w:val="Adresa"/>
                    </w:pPr>
                    <w:r w:rsidRPr="00822CAA">
                      <w:rPr>
                        <w:b/>
                      </w:rPr>
                      <w:t>eLegal advokátní kancelář podléhá dozoru České advokátní komory (www.cak.cz, sekce: stavovské předpisy).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F448F">
      <w:fldChar w:fldCharType="begin"/>
    </w:r>
    <w:r w:rsidR="004F448F">
      <w:instrText>PAGE   \* MERGEFORMAT</w:instrText>
    </w:r>
    <w:r w:rsidR="004F448F">
      <w:fldChar w:fldCharType="separate"/>
    </w:r>
    <w:r w:rsidR="00E60F75">
      <w:rPr>
        <w:noProof/>
      </w:rPr>
      <w:t>1</w:t>
    </w:r>
    <w:r w:rsidR="004F448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618" w:rsidRDefault="00A33618" w:rsidP="00AE4061">
      <w:pPr>
        <w:spacing w:after="0" w:line="240" w:lineRule="auto"/>
      </w:pPr>
      <w:r>
        <w:separator/>
      </w:r>
    </w:p>
  </w:footnote>
  <w:footnote w:type="continuationSeparator" w:id="0">
    <w:p w:rsidR="00A33618" w:rsidRDefault="00A33618" w:rsidP="00AE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61" w:rsidRDefault="003B53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0DDA31" wp14:editId="39785002">
          <wp:simplePos x="0" y="0"/>
          <wp:positionH relativeFrom="page">
            <wp:posOffset>277495</wp:posOffset>
          </wp:positionH>
          <wp:positionV relativeFrom="page">
            <wp:posOffset>652517</wp:posOffset>
          </wp:positionV>
          <wp:extent cx="633730" cy="1614805"/>
          <wp:effectExtent l="0" t="0" r="0" b="4445"/>
          <wp:wrapNone/>
          <wp:docPr id="4" name="Obrázek 4" descr="C:\Users\Honza\AppData\Local\Microsoft\Windows\INetCache\Content.Word\eLegal_logo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nza\AppData\Local\Microsoft\Windows\INetCache\Content.Word\eLegal_logo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8F" w:rsidRDefault="004657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61BAD" wp14:editId="36B0971C">
              <wp:simplePos x="0" y="0"/>
              <wp:positionH relativeFrom="page">
                <wp:posOffset>283779</wp:posOffset>
              </wp:positionH>
              <wp:positionV relativeFrom="page">
                <wp:posOffset>2648607</wp:posOffset>
              </wp:positionV>
              <wp:extent cx="467995" cy="7914290"/>
              <wp:effectExtent l="0" t="0" r="8255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" cy="7914290"/>
                      </a:xfrm>
                      <a:prstGeom prst="rect">
                        <a:avLst/>
                      </a:prstGeom>
                      <a:solidFill>
                        <a:srgbClr val="4B4B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100B03" id="Obdélník 2" o:spid="_x0000_s1026" style="position:absolute;margin-left:22.35pt;margin-top:208.55pt;width:36.85pt;height:6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" fillcolor="#4b4b4d" stroked="f" strokeweight="2pt">
              <w10:wrap anchorx="page" anchory="page"/>
            </v:rect>
          </w:pict>
        </mc:Fallback>
      </mc:AlternateContent>
    </w:r>
    <w:r w:rsidR="00BF2426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F27C1BC" wp14:editId="3340374C">
          <wp:simplePos x="0" y="0"/>
          <wp:positionH relativeFrom="page">
            <wp:posOffset>264795</wp:posOffset>
          </wp:positionH>
          <wp:positionV relativeFrom="page">
            <wp:posOffset>626657</wp:posOffset>
          </wp:positionV>
          <wp:extent cx="633095" cy="1616075"/>
          <wp:effectExtent l="0" t="0" r="0" b="3175"/>
          <wp:wrapNone/>
          <wp:docPr id="7" name="Obrázek 7" descr="C:\Users\Honza\AppData\Local\Microsoft\Windows\INetCache\Content.Word\eLegal_logo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nza\AppData\Local\Microsoft\Windows\INetCache\Content.Word\eLegal_logo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16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F4553"/>
    <w:multiLevelType w:val="hybridMultilevel"/>
    <w:tmpl w:val="723AAD7E"/>
    <w:lvl w:ilvl="0" w:tplc="4B76866C">
      <w:start w:val="1"/>
      <w:numFmt w:val="decimal"/>
      <w:pStyle w:val="Seznamslovanbezmezer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41FB7B68"/>
    <w:multiLevelType w:val="hybridMultilevel"/>
    <w:tmpl w:val="DA5A4B46"/>
    <w:lvl w:ilvl="0" w:tplc="7182EC0A">
      <w:start w:val="1"/>
      <w:numFmt w:val="decimal"/>
      <w:pStyle w:val="Seznamslovan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46393DCE"/>
    <w:multiLevelType w:val="multilevel"/>
    <w:tmpl w:val="CEBC97F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4E2648B0"/>
    <w:multiLevelType w:val="hybridMultilevel"/>
    <w:tmpl w:val="454A8DDA"/>
    <w:lvl w:ilvl="0" w:tplc="76E8406C">
      <w:start w:val="1"/>
      <w:numFmt w:val="bullet"/>
      <w:pStyle w:val="Odrky"/>
      <w:lvlText w:val=""/>
      <w:lvlJc w:val="left"/>
      <w:pPr>
        <w:ind w:left="720" w:hanging="360"/>
      </w:pPr>
      <w:rPr>
        <w:rFonts w:ascii="Wingdings 2" w:hAnsi="Wingdings 2" w:hint="default"/>
        <w:color w:val="F294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90673C1"/>
    <w:multiLevelType w:val="hybridMultilevel"/>
    <w:tmpl w:val="28B40E5E"/>
    <w:lvl w:ilvl="0" w:tplc="857AF872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D3409"/>
    <w:multiLevelType w:val="multilevel"/>
    <w:tmpl w:val="E2BE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  <w:num w:numId="16">
    <w:abstractNumId w:val="1"/>
  </w:num>
  <w:num w:numId="17">
    <w:abstractNumId w:val="0"/>
  </w:num>
  <w:num w:numId="18">
    <w:abstractNumId w:val="2"/>
  </w:num>
  <w:num w:numId="19">
    <w:abstractNumId w:val="5"/>
  </w:num>
  <w:num w:numId="20">
    <w:abstractNumId w:val="4"/>
  </w:num>
  <w:num w:numId="21">
    <w:abstractNumId w:val="3"/>
  </w:num>
  <w:num w:numId="22">
    <w:abstractNumId w:val="1"/>
  </w:num>
  <w:num w:numId="23">
    <w:abstractNumId w:val="0"/>
  </w:num>
  <w:num w:numId="24">
    <w:abstractNumId w:val="2"/>
  </w:num>
  <w:num w:numId="25">
    <w:abstractNumId w:val="4"/>
  </w:num>
  <w:num w:numId="26">
    <w:abstractNumId w:val="5"/>
  </w:num>
  <w:num w:numId="27">
    <w:abstractNumId w:val="4"/>
  </w:num>
  <w:num w:numId="28">
    <w:abstractNumId w:val="3"/>
  </w:num>
  <w:num w:numId="29">
    <w:abstractNumId w:val="1"/>
  </w:num>
  <w:num w:numId="30">
    <w:abstractNumId w:val="0"/>
  </w:num>
  <w:num w:numId="31">
    <w:abstractNumId w:val="2"/>
  </w:num>
  <w:num w:numId="32">
    <w:abstractNumId w:val="5"/>
  </w:num>
  <w:num w:numId="33">
    <w:abstractNumId w:val="5"/>
  </w:num>
  <w:num w:numId="34">
    <w:abstractNumId w:val="5"/>
  </w:num>
  <w:num w:numId="35">
    <w:abstractNumId w:val="4"/>
  </w:num>
  <w:num w:numId="36">
    <w:abstractNumId w:val="5"/>
  </w:num>
  <w:num w:numId="3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F9"/>
    <w:rsid w:val="00007ECD"/>
    <w:rsid w:val="000343A8"/>
    <w:rsid w:val="00036249"/>
    <w:rsid w:val="0005519E"/>
    <w:rsid w:val="000621D2"/>
    <w:rsid w:val="0006712E"/>
    <w:rsid w:val="0007264F"/>
    <w:rsid w:val="000C14BE"/>
    <w:rsid w:val="000D6D6A"/>
    <w:rsid w:val="000F2BC3"/>
    <w:rsid w:val="001633E3"/>
    <w:rsid w:val="00183547"/>
    <w:rsid w:val="00196D45"/>
    <w:rsid w:val="001A2344"/>
    <w:rsid w:val="001B3C0D"/>
    <w:rsid w:val="001C3251"/>
    <w:rsid w:val="001F55D9"/>
    <w:rsid w:val="00270CF9"/>
    <w:rsid w:val="002714E3"/>
    <w:rsid w:val="002933B1"/>
    <w:rsid w:val="002B339A"/>
    <w:rsid w:val="00301BC2"/>
    <w:rsid w:val="0030486D"/>
    <w:rsid w:val="003213E5"/>
    <w:rsid w:val="00381449"/>
    <w:rsid w:val="00396404"/>
    <w:rsid w:val="003B5316"/>
    <w:rsid w:val="003C5D9F"/>
    <w:rsid w:val="00465765"/>
    <w:rsid w:val="004834C3"/>
    <w:rsid w:val="00491119"/>
    <w:rsid w:val="004D432E"/>
    <w:rsid w:val="004F448F"/>
    <w:rsid w:val="00502FE3"/>
    <w:rsid w:val="005264A3"/>
    <w:rsid w:val="00532A37"/>
    <w:rsid w:val="00532AF1"/>
    <w:rsid w:val="0056054D"/>
    <w:rsid w:val="005A2D93"/>
    <w:rsid w:val="005B706A"/>
    <w:rsid w:val="005D3CB2"/>
    <w:rsid w:val="005D511B"/>
    <w:rsid w:val="005F036F"/>
    <w:rsid w:val="006157BE"/>
    <w:rsid w:val="00643385"/>
    <w:rsid w:val="006449E1"/>
    <w:rsid w:val="00666371"/>
    <w:rsid w:val="006774FE"/>
    <w:rsid w:val="006A307A"/>
    <w:rsid w:val="006A30D1"/>
    <w:rsid w:val="006B4831"/>
    <w:rsid w:val="006B6B05"/>
    <w:rsid w:val="006F5A5B"/>
    <w:rsid w:val="007040B6"/>
    <w:rsid w:val="00733C4E"/>
    <w:rsid w:val="00761C78"/>
    <w:rsid w:val="00775DA8"/>
    <w:rsid w:val="00791DEA"/>
    <w:rsid w:val="00796C63"/>
    <w:rsid w:val="007C3B79"/>
    <w:rsid w:val="007D06EE"/>
    <w:rsid w:val="008143A7"/>
    <w:rsid w:val="00822CAA"/>
    <w:rsid w:val="00834EF4"/>
    <w:rsid w:val="00870874"/>
    <w:rsid w:val="008A0316"/>
    <w:rsid w:val="008E500A"/>
    <w:rsid w:val="00930701"/>
    <w:rsid w:val="00956930"/>
    <w:rsid w:val="00962CF6"/>
    <w:rsid w:val="009945B5"/>
    <w:rsid w:val="00995754"/>
    <w:rsid w:val="009A320E"/>
    <w:rsid w:val="009A5785"/>
    <w:rsid w:val="009E0F74"/>
    <w:rsid w:val="00A05C71"/>
    <w:rsid w:val="00A30B38"/>
    <w:rsid w:val="00A33618"/>
    <w:rsid w:val="00A424D1"/>
    <w:rsid w:val="00A73078"/>
    <w:rsid w:val="00A7665D"/>
    <w:rsid w:val="00AA2362"/>
    <w:rsid w:val="00AC0BA3"/>
    <w:rsid w:val="00AC2D4F"/>
    <w:rsid w:val="00AC2E07"/>
    <w:rsid w:val="00AC7434"/>
    <w:rsid w:val="00AD0ED8"/>
    <w:rsid w:val="00AE4061"/>
    <w:rsid w:val="00AE780A"/>
    <w:rsid w:val="00B130A8"/>
    <w:rsid w:val="00B26C12"/>
    <w:rsid w:val="00B304D6"/>
    <w:rsid w:val="00B56B32"/>
    <w:rsid w:val="00B6260C"/>
    <w:rsid w:val="00BB0236"/>
    <w:rsid w:val="00BD7D4D"/>
    <w:rsid w:val="00BF2426"/>
    <w:rsid w:val="00C078D0"/>
    <w:rsid w:val="00C10AA0"/>
    <w:rsid w:val="00C11569"/>
    <w:rsid w:val="00C348E8"/>
    <w:rsid w:val="00C63FE3"/>
    <w:rsid w:val="00C71557"/>
    <w:rsid w:val="00C877C2"/>
    <w:rsid w:val="00CB26A6"/>
    <w:rsid w:val="00CB4DD3"/>
    <w:rsid w:val="00CC4B8F"/>
    <w:rsid w:val="00CE050D"/>
    <w:rsid w:val="00CE3743"/>
    <w:rsid w:val="00CF19CC"/>
    <w:rsid w:val="00D00A8A"/>
    <w:rsid w:val="00D11C4C"/>
    <w:rsid w:val="00D42B56"/>
    <w:rsid w:val="00D76343"/>
    <w:rsid w:val="00D921F2"/>
    <w:rsid w:val="00DA1527"/>
    <w:rsid w:val="00DB15D6"/>
    <w:rsid w:val="00DC2C0D"/>
    <w:rsid w:val="00DE6FDF"/>
    <w:rsid w:val="00E079D3"/>
    <w:rsid w:val="00E40674"/>
    <w:rsid w:val="00E60F75"/>
    <w:rsid w:val="00E71110"/>
    <w:rsid w:val="00E942A5"/>
    <w:rsid w:val="00EA6A2A"/>
    <w:rsid w:val="00EB3D5D"/>
    <w:rsid w:val="00ED1AF7"/>
    <w:rsid w:val="00F028B7"/>
    <w:rsid w:val="00F21000"/>
    <w:rsid w:val="00F25729"/>
    <w:rsid w:val="00F66286"/>
    <w:rsid w:val="00FA62BE"/>
    <w:rsid w:val="00FA6345"/>
    <w:rsid w:val="00FD1F91"/>
    <w:rsid w:val="00FF4D0A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A46D9-2612-4434-8182-C6FF1892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49E1"/>
    <w:pPr>
      <w:spacing w:after="60" w:line="360" w:lineRule="auto"/>
      <w:jc w:val="both"/>
    </w:pPr>
    <w:rPr>
      <w:szCs w:val="22"/>
    </w:rPr>
  </w:style>
  <w:style w:type="paragraph" w:styleId="Nadpis1">
    <w:name w:val="heading 1"/>
    <w:aliases w:val="Nadpis 1 - Články"/>
    <w:basedOn w:val="Normln"/>
    <w:next w:val="Normln"/>
    <w:link w:val="Nadpis1Char"/>
    <w:qFormat/>
    <w:rsid w:val="00D42B56"/>
    <w:pPr>
      <w:keepNext/>
      <w:keepLines/>
      <w:numPr>
        <w:numId w:val="26"/>
      </w:numPr>
      <w:spacing w:before="240" w:after="80"/>
      <w:ind w:left="714" w:hanging="357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6449E1"/>
    <w:pPr>
      <w:keepNext/>
      <w:keepLines/>
      <w:spacing w:before="240" w:after="120"/>
      <w:jc w:val="left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5"/>
    <w:unhideWhenUsed/>
    <w:qFormat/>
    <w:rsid w:val="006449E1"/>
    <w:pPr>
      <w:keepNext/>
      <w:keepLines/>
      <w:spacing w:before="240" w:after="0"/>
      <w:jc w:val="left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49E1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4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9E1"/>
    <w:rPr>
      <w:szCs w:val="22"/>
    </w:rPr>
  </w:style>
  <w:style w:type="paragraph" w:styleId="Zpat">
    <w:name w:val="footer"/>
    <w:basedOn w:val="Normln"/>
    <w:link w:val="ZpatChar"/>
    <w:uiPriority w:val="99"/>
    <w:unhideWhenUsed/>
    <w:rsid w:val="00644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9E1"/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9E1"/>
    <w:rPr>
      <w:rFonts w:ascii="Tahoma" w:hAnsi="Tahoma" w:cs="Tahoma"/>
      <w:sz w:val="16"/>
      <w:szCs w:val="16"/>
    </w:rPr>
  </w:style>
  <w:style w:type="paragraph" w:customStyle="1" w:styleId="Adresa">
    <w:name w:val="Adresa"/>
    <w:uiPriority w:val="9"/>
    <w:qFormat/>
    <w:rsid w:val="006449E1"/>
    <w:pPr>
      <w:spacing w:after="0" w:line="240" w:lineRule="auto"/>
      <w:jc w:val="right"/>
    </w:pPr>
    <w:rPr>
      <w:color w:val="FFFFFF" w:themeColor="background1"/>
      <w:sz w:val="18"/>
      <w:szCs w:val="22"/>
    </w:rPr>
  </w:style>
  <w:style w:type="character" w:customStyle="1" w:styleId="Oranov">
    <w:name w:val="Oranžová"/>
    <w:uiPriority w:val="1"/>
    <w:qFormat/>
    <w:rsid w:val="006449E1"/>
    <w:rPr>
      <w:b w:val="0"/>
      <w:color w:val="F29400"/>
    </w:rPr>
  </w:style>
  <w:style w:type="paragraph" w:styleId="Bezmezer">
    <w:name w:val="No Spacing"/>
    <w:basedOn w:val="Normln"/>
    <w:uiPriority w:val="6"/>
    <w:qFormat/>
    <w:rsid w:val="006449E1"/>
    <w:pPr>
      <w:spacing w:after="0"/>
    </w:pPr>
  </w:style>
  <w:style w:type="character" w:customStyle="1" w:styleId="Nadpis1Char">
    <w:name w:val="Nadpis 1 Char"/>
    <w:aliases w:val="Nadpis 1 - Články Char"/>
    <w:basedOn w:val="Standardnpsmoodstavce"/>
    <w:link w:val="Nadpis1"/>
    <w:rsid w:val="00D42B56"/>
    <w:rPr>
      <w:rFonts w:eastAsiaTheme="majorEastAsia" w:cstheme="majorBidi"/>
      <w:b/>
      <w:bCs/>
      <w:szCs w:val="28"/>
    </w:rPr>
  </w:style>
  <w:style w:type="paragraph" w:customStyle="1" w:styleId="Perex">
    <w:name w:val="Perex"/>
    <w:basedOn w:val="Normln"/>
    <w:qFormat/>
    <w:rsid w:val="006449E1"/>
    <w:rPr>
      <w:b/>
      <w:color w:val="F29400"/>
    </w:rPr>
  </w:style>
  <w:style w:type="character" w:customStyle="1" w:styleId="Nadpis2Char">
    <w:name w:val="Nadpis 2 Char"/>
    <w:basedOn w:val="Standardnpsmoodstavce"/>
    <w:link w:val="Nadpis2"/>
    <w:uiPriority w:val="4"/>
    <w:rsid w:val="006449E1"/>
    <w:rPr>
      <w:rFonts w:eastAsiaTheme="majorEastAsia" w:cstheme="majorBidi"/>
      <w:bCs/>
      <w:szCs w:val="26"/>
    </w:rPr>
  </w:style>
  <w:style w:type="paragraph" w:styleId="Odstavecseseznamem">
    <w:name w:val="List Paragraph"/>
    <w:basedOn w:val="Normln"/>
    <w:uiPriority w:val="34"/>
    <w:unhideWhenUsed/>
    <w:qFormat/>
    <w:rsid w:val="006449E1"/>
    <w:pPr>
      <w:ind w:left="720"/>
      <w:contextualSpacing/>
    </w:pPr>
  </w:style>
  <w:style w:type="paragraph" w:customStyle="1" w:styleId="Odrky">
    <w:name w:val="Odrážky"/>
    <w:basedOn w:val="Normln"/>
    <w:uiPriority w:val="1"/>
    <w:qFormat/>
    <w:rsid w:val="006449E1"/>
    <w:pPr>
      <w:numPr>
        <w:numId w:val="28"/>
      </w:numPr>
    </w:pPr>
  </w:style>
  <w:style w:type="paragraph" w:customStyle="1" w:styleId="Odrkybezmezer">
    <w:name w:val="Odrážky bez mezer"/>
    <w:basedOn w:val="Odrky"/>
    <w:uiPriority w:val="1"/>
    <w:qFormat/>
    <w:rsid w:val="006449E1"/>
    <w:pPr>
      <w:numPr>
        <w:numId w:val="0"/>
      </w:numPr>
      <w:spacing w:after="0"/>
    </w:pPr>
  </w:style>
  <w:style w:type="character" w:customStyle="1" w:styleId="Nadpis3Char">
    <w:name w:val="Nadpis 3 Char"/>
    <w:basedOn w:val="Standardnpsmoodstavce"/>
    <w:link w:val="Nadpis3"/>
    <w:uiPriority w:val="5"/>
    <w:rsid w:val="006449E1"/>
    <w:rPr>
      <w:rFonts w:eastAsiaTheme="majorEastAsia" w:cstheme="majorBidi"/>
      <w:b/>
      <w:bCs/>
      <w:szCs w:val="22"/>
    </w:rPr>
  </w:style>
  <w:style w:type="paragraph" w:customStyle="1" w:styleId="Seznamslovan">
    <w:name w:val="Seznam číslovaný"/>
    <w:basedOn w:val="Odrky"/>
    <w:uiPriority w:val="2"/>
    <w:qFormat/>
    <w:rsid w:val="006449E1"/>
    <w:pPr>
      <w:numPr>
        <w:numId w:val="29"/>
      </w:numPr>
    </w:pPr>
  </w:style>
  <w:style w:type="paragraph" w:customStyle="1" w:styleId="Seznamslovanbezmezer">
    <w:name w:val="Seznam číslovaný bez mezer"/>
    <w:basedOn w:val="Seznamslovan"/>
    <w:uiPriority w:val="2"/>
    <w:qFormat/>
    <w:rsid w:val="006449E1"/>
    <w:pPr>
      <w:numPr>
        <w:numId w:val="30"/>
      </w:numPr>
      <w:spacing w:after="0"/>
    </w:pPr>
  </w:style>
  <w:style w:type="paragraph" w:styleId="Citt">
    <w:name w:val="Quote"/>
    <w:basedOn w:val="Normln"/>
    <w:next w:val="Normln"/>
    <w:link w:val="CittChar"/>
    <w:uiPriority w:val="7"/>
    <w:qFormat/>
    <w:rsid w:val="006449E1"/>
    <w:rPr>
      <w:i/>
      <w:iCs/>
    </w:rPr>
  </w:style>
  <w:style w:type="character" w:customStyle="1" w:styleId="CittChar">
    <w:name w:val="Citát Char"/>
    <w:basedOn w:val="Standardnpsmoodstavce"/>
    <w:link w:val="Citt"/>
    <w:uiPriority w:val="7"/>
    <w:rsid w:val="006449E1"/>
    <w:rPr>
      <w:i/>
      <w:iCs/>
      <w:szCs w:val="22"/>
    </w:rPr>
  </w:style>
  <w:style w:type="character" w:styleId="Odkazjemn">
    <w:name w:val="Subtle Reference"/>
    <w:basedOn w:val="Standardnpsmoodstavce"/>
    <w:uiPriority w:val="31"/>
    <w:unhideWhenUsed/>
    <w:qFormat/>
    <w:rsid w:val="006449E1"/>
    <w:rPr>
      <w:smallCaps/>
      <w:color w:val="4B4B4D"/>
      <w:u w:val="single"/>
    </w:rPr>
  </w:style>
  <w:style w:type="character" w:customStyle="1" w:styleId="Odkaz">
    <w:name w:val="Odkaz"/>
    <w:basedOn w:val="Standardnpsmoodstavce"/>
    <w:uiPriority w:val="8"/>
    <w:qFormat/>
    <w:rsid w:val="006449E1"/>
    <w:rPr>
      <w:color w:val="F29400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49E1"/>
    <w:rPr>
      <w:rFonts w:eastAsiaTheme="majorEastAsia" w:cstheme="majorBidi"/>
      <w:b/>
      <w:bCs/>
      <w:iCs/>
      <w:szCs w:val="22"/>
    </w:rPr>
  </w:style>
  <w:style w:type="character" w:styleId="Hypertextovodkaz">
    <w:name w:val="Hyperlink"/>
    <w:basedOn w:val="Standardnpsmoodstavce"/>
    <w:uiPriority w:val="99"/>
    <w:unhideWhenUsed/>
    <w:rsid w:val="006449E1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6449E1"/>
    <w:pPr>
      <w:spacing w:before="120" w:after="120"/>
      <w:jc w:val="left"/>
    </w:pPr>
    <w:rPr>
      <w:b/>
      <w:color w:val="F29400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6449E1"/>
    <w:pPr>
      <w:spacing w:before="120" w:after="0"/>
      <w:ind w:left="198"/>
      <w:jc w:val="left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6449E1"/>
    <w:pPr>
      <w:spacing w:after="0"/>
      <w:ind w:left="403"/>
      <w:jc w:val="left"/>
    </w:pPr>
  </w:style>
  <w:style w:type="paragraph" w:styleId="Nadpisobsahu">
    <w:name w:val="TOC Heading"/>
    <w:basedOn w:val="Nadpis1"/>
    <w:next w:val="Normln"/>
    <w:uiPriority w:val="39"/>
    <w:unhideWhenUsed/>
    <w:qFormat/>
    <w:rsid w:val="006449E1"/>
    <w:pPr>
      <w:numPr>
        <w:numId w:val="0"/>
      </w:numPr>
      <w:spacing w:after="0"/>
      <w:outlineLvl w:val="9"/>
    </w:pPr>
    <w:rPr>
      <w:color w:val="4B4B4D"/>
    </w:rPr>
  </w:style>
  <w:style w:type="paragraph" w:customStyle="1" w:styleId="Standard">
    <w:name w:val="Standard"/>
    <w:rsid w:val="00644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numbering" w:customStyle="1" w:styleId="WWNum6">
    <w:name w:val="WWNum6"/>
    <w:basedOn w:val="Bezseznamu"/>
    <w:rsid w:val="006449E1"/>
    <w:pPr>
      <w:numPr>
        <w:numId w:val="5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449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9E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9E1"/>
    <w:rPr>
      <w:szCs w:val="22"/>
    </w:rPr>
  </w:style>
  <w:style w:type="paragraph" w:styleId="Nzev">
    <w:name w:val="Title"/>
    <w:basedOn w:val="Normln"/>
    <w:next w:val="Normln"/>
    <w:link w:val="NzevChar"/>
    <w:uiPriority w:val="1"/>
    <w:qFormat/>
    <w:rsid w:val="006449E1"/>
    <w:pPr>
      <w:spacing w:before="120" w:after="300"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6449E1"/>
    <w:rPr>
      <w:rFonts w:eastAsiaTheme="majorEastAsia" w:cstheme="majorBidi"/>
      <w:b/>
      <w:spacing w:val="5"/>
      <w:kern w:val="28"/>
      <w:sz w:val="28"/>
      <w:szCs w:val="52"/>
    </w:rPr>
  </w:style>
  <w:style w:type="paragraph" w:styleId="slovanseznam">
    <w:name w:val="List Number"/>
    <w:aliases w:val="Číslování - eLegal"/>
    <w:basedOn w:val="Normln"/>
    <w:qFormat/>
    <w:rsid w:val="0056054D"/>
    <w:pPr>
      <w:numPr>
        <w:numId w:val="35"/>
      </w:numPr>
    </w:pPr>
  </w:style>
  <w:style w:type="paragraph" w:styleId="Normlnweb">
    <w:name w:val="Normal (Web)"/>
    <w:basedOn w:val="Normln"/>
    <w:uiPriority w:val="99"/>
    <w:semiHidden/>
    <w:unhideWhenUsed/>
    <w:rsid w:val="00E60F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auchtoma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legal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1848-CC45-43F0-BD32-150D22CA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eLegal</dc:creator>
  <cp:lastModifiedBy>Kateřina Straková</cp:lastModifiedBy>
  <cp:revision>2</cp:revision>
  <cp:lastPrinted>2019-12-05T13:17:00Z</cp:lastPrinted>
  <dcterms:created xsi:type="dcterms:W3CDTF">2020-03-10T14:48:00Z</dcterms:created>
  <dcterms:modified xsi:type="dcterms:W3CDTF">2020-03-10T14:48:00Z</dcterms:modified>
</cp:coreProperties>
</file>